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Autospacing="1" w:afterAutospacing="1"/>
        <w:jc w:val="center"/>
        <w:rPr>
          <w:rFonts w:ascii="Times New Roman" w:hAnsi="Times New Roman" w:eastAsia="Times New Roman" w:cs="Times New Roman"/>
          <w:b/>
          <w:b/>
          <w:bCs/>
          <w:sz w:val="24"/>
          <w:szCs w:val="24"/>
          <w:lang w:val="en-US" w:eastAsia="el-GR"/>
        </w:rPr>
      </w:pPr>
      <w:r>
        <w:rPr>
          <w:rFonts w:eastAsia="Times New Roman" w:cs="Times New Roman" w:ascii="Times New Roman" w:hAnsi="Times New Roman"/>
          <w:b/>
          <w:bCs/>
          <w:sz w:val="24"/>
          <w:szCs w:val="24"/>
          <w:lang w:val="en-US" w:eastAsia="el-GR"/>
        </w:rPr>
        <w:t>Research Project</w:t>
      </w:r>
      <w:r>
        <w:rPr>
          <w:rFonts w:eastAsia="Times New Roman" w:cs="Times New Roman" w:ascii="Times New Roman" w:hAnsi="Times New Roman"/>
          <w:b/>
          <w:bCs/>
          <w:sz w:val="24"/>
          <w:szCs w:val="24"/>
          <w:lang w:eastAsia="el-GR"/>
        </w:rPr>
        <w:t xml:space="preserve"> </w:t>
      </w:r>
      <w:r>
        <w:rPr>
          <w:rFonts w:eastAsia="Times New Roman" w:cs="Times New Roman" w:ascii="Times New Roman" w:hAnsi="Times New Roman"/>
          <w:b/>
          <w:bCs/>
          <w:sz w:val="24"/>
          <w:szCs w:val="24"/>
          <w:lang w:val="en-US" w:eastAsia="el-GR"/>
        </w:rPr>
        <w:t>on Mask</w:t>
      </w:r>
    </w:p>
    <w:p>
      <w:pPr>
        <w:pStyle w:val="Normal"/>
        <w:spacing w:lineRule="auto" w:line="276" w:beforeAutospacing="1" w:afterAutospacing="1"/>
        <w:jc w:val="center"/>
        <w:rPr>
          <w:rFonts w:ascii="Times New Roman" w:hAnsi="Times New Roman" w:eastAsia="Times New Roman" w:cs="Times New Roman"/>
          <w:b/>
          <w:b/>
          <w:sz w:val="24"/>
          <w:szCs w:val="24"/>
          <w:lang w:val="en-US" w:eastAsia="el-GR"/>
        </w:rPr>
      </w:pPr>
      <w:r>
        <w:rPr>
          <w:rFonts w:eastAsia="Times New Roman" w:cs="Times New Roman" w:ascii="Times New Roman" w:hAnsi="Times New Roman"/>
          <w:b/>
          <w:sz w:val="24"/>
          <w:szCs w:val="24"/>
          <w:lang w:val="en-US" w:eastAsia="el-GR"/>
        </w:rPr>
      </w:r>
    </w:p>
    <w:p>
      <w:pPr>
        <w:pStyle w:val="Normal"/>
        <w:spacing w:lineRule="auto" w:line="276" w:beforeAutospacing="1" w:afterAutospacing="1"/>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Cs/>
          <w:sz w:val="24"/>
          <w:szCs w:val="24"/>
          <w:lang w:val="en-US" w:eastAsia="el-GR"/>
        </w:rPr>
        <w:t>“</w:t>
      </w:r>
      <w:r>
        <w:rPr>
          <w:rFonts w:eastAsia="Times New Roman" w:cs="Times New Roman" w:ascii="Times New Roman" w:hAnsi="Times New Roman"/>
          <w:bCs/>
          <w:sz w:val="24"/>
          <w:szCs w:val="24"/>
          <w:lang w:val="en-US" w:eastAsia="el-GR"/>
        </w:rPr>
        <w:t xml:space="preserve">The Mask in </w:t>
      </w:r>
      <w:r>
        <w:rPr>
          <w:rFonts w:eastAsia="Times New Roman" w:cs="Times New Roman" w:ascii="Times New Roman" w:hAnsi="Times New Roman"/>
          <w:bCs/>
          <w:i/>
          <w:iCs/>
          <w:sz w:val="24"/>
          <w:szCs w:val="24"/>
          <w:lang w:val="en-US" w:eastAsia="el-GR"/>
        </w:rPr>
        <w:t>Commedia dell’arte</w:t>
      </w:r>
      <w:r>
        <w:rPr>
          <w:rFonts w:eastAsia="Times New Roman" w:cs="Times New Roman" w:ascii="Times New Roman" w:hAnsi="Times New Roman"/>
          <w:bCs/>
          <w:sz w:val="24"/>
          <w:szCs w:val="24"/>
          <w:lang w:val="en-US" w:eastAsia="el-GR"/>
        </w:rPr>
        <w:t xml:space="preserve"> and Ancient Greek Comedy. A Comparative and Historical Approach, with Emphasis on the Methodology of Acting”</w:t>
      </w:r>
      <w:r>
        <w:rPr>
          <w:rFonts w:eastAsia="Times New Roman" w:cs="Times New Roman" w:ascii="Times New Roman" w:hAnsi="Times New Roman"/>
          <w:sz w:val="24"/>
          <w:szCs w:val="24"/>
          <w:lang w:val="en-US" w:eastAsia="el-GR"/>
        </w:rPr>
        <w:t xml:space="preserve">, conducted within the framework of the Action </w:t>
      </w:r>
      <w:r>
        <w:rPr>
          <w:rFonts w:eastAsia="Times New Roman" w:cs="Times New Roman" w:ascii="Times New Roman" w:hAnsi="Times New Roman"/>
          <w:i/>
          <w:iCs/>
          <w:sz w:val="24"/>
          <w:szCs w:val="24"/>
          <w:lang w:val="en-US" w:eastAsia="el-GR"/>
        </w:rPr>
        <w:t>“Support for Researchers with Emphasis on Young Researchers – Round B”</w:t>
      </w:r>
      <w:r>
        <w:rPr>
          <w:rFonts w:eastAsia="Times New Roman" w:cs="Times New Roman" w:ascii="Times New Roman" w:hAnsi="Times New Roman"/>
          <w:sz w:val="24"/>
          <w:szCs w:val="24"/>
          <w:lang w:val="en-US" w:eastAsia="el-GR"/>
        </w:rPr>
        <w:t xml:space="preserve"> (NSRF 2014–2020). </w:t>
      </w:r>
      <w:r>
        <w:rPr>
          <w:rFonts w:eastAsia="Times New Roman" w:cs="Times New Roman" w:ascii="Times New Roman" w:hAnsi="Times New Roman"/>
          <w:bCs/>
          <w:sz w:val="24"/>
          <w:szCs w:val="24"/>
          <w:lang w:val="en-US" w:eastAsia="el-GR"/>
        </w:rPr>
        <w:t>Decision for Commitment of Funds</w:t>
      </w:r>
      <w:r>
        <w:rPr>
          <w:rFonts w:eastAsia="Times New Roman" w:cs="Times New Roman" w:ascii="Times New Roman" w:hAnsi="Times New Roman"/>
          <w:sz w:val="24"/>
          <w:szCs w:val="24"/>
          <w:lang w:val="en-US" w:eastAsia="el-GR"/>
        </w:rPr>
        <w:t xml:space="preserve">: 26/11/2019. </w:t>
      </w:r>
      <w:r>
        <w:rPr>
          <w:rFonts w:eastAsia="Times New Roman" w:cs="Times New Roman" w:ascii="Times New Roman" w:hAnsi="Times New Roman"/>
          <w:bCs/>
          <w:sz w:val="24"/>
          <w:szCs w:val="24"/>
          <w:lang w:val="en-US" w:eastAsia="el-GR"/>
        </w:rPr>
        <w:t>Start Date</w:t>
      </w:r>
      <w:r>
        <w:rPr>
          <w:rFonts w:eastAsia="Times New Roman" w:cs="Times New Roman" w:ascii="Times New Roman" w:hAnsi="Times New Roman"/>
          <w:sz w:val="24"/>
          <w:szCs w:val="24"/>
          <w:lang w:val="en-US" w:eastAsia="el-GR"/>
        </w:rPr>
        <w:t xml:space="preserve">: 04/12/2019 • </w:t>
      </w:r>
      <w:r>
        <w:rPr>
          <w:rFonts w:eastAsia="Times New Roman" w:cs="Times New Roman" w:ascii="Times New Roman" w:hAnsi="Times New Roman"/>
          <w:bCs/>
          <w:sz w:val="24"/>
          <w:szCs w:val="24"/>
          <w:lang w:val="en-US" w:eastAsia="el-GR"/>
        </w:rPr>
        <w:t>End Date</w:t>
      </w:r>
      <w:r>
        <w:rPr>
          <w:rFonts w:eastAsia="Times New Roman" w:cs="Times New Roman" w:ascii="Times New Roman" w:hAnsi="Times New Roman"/>
          <w:sz w:val="24"/>
          <w:szCs w:val="24"/>
          <w:lang w:val="en-US" w:eastAsia="el-GR"/>
        </w:rPr>
        <w:t xml:space="preserve">: 03/03/2021 • </w:t>
      </w:r>
      <w:r>
        <w:rPr>
          <w:rFonts w:eastAsia="Times New Roman" w:cs="Times New Roman" w:ascii="Times New Roman" w:hAnsi="Times New Roman"/>
          <w:bCs/>
          <w:sz w:val="24"/>
          <w:szCs w:val="24"/>
          <w:lang w:val="en-US" w:eastAsia="el-GR"/>
        </w:rPr>
        <w:t>Duration</w:t>
      </w:r>
      <w:r>
        <w:rPr>
          <w:rFonts w:eastAsia="Times New Roman" w:cs="Times New Roman" w:ascii="Times New Roman" w:hAnsi="Times New Roman"/>
          <w:sz w:val="24"/>
          <w:szCs w:val="24"/>
          <w:lang w:val="en-US" w:eastAsia="el-GR"/>
        </w:rPr>
        <w:t xml:space="preserve">: 15 months. </w:t>
      </w:r>
      <w:r>
        <w:rPr>
          <w:rFonts w:eastAsia="Times New Roman" w:cs="Times New Roman" w:ascii="Times New Roman" w:hAnsi="Times New Roman"/>
          <w:bCs/>
          <w:sz w:val="24"/>
          <w:szCs w:val="24"/>
          <w:lang w:val="en-US" w:eastAsia="el-GR"/>
        </w:rPr>
        <w:t>Funding</w:t>
      </w:r>
      <w:r>
        <w:rPr>
          <w:rFonts w:eastAsia="Times New Roman" w:cs="Times New Roman" w:ascii="Times New Roman" w:hAnsi="Times New Roman"/>
          <w:sz w:val="24"/>
          <w:szCs w:val="24"/>
          <w:lang w:val="en-US" w:eastAsia="el-GR"/>
        </w:rPr>
        <w:t>: €41,500.</w:t>
      </w:r>
    </w:p>
    <w:p>
      <w:pPr>
        <w:pStyle w:val="Normal"/>
        <w:spacing w:lineRule="auto" w:line="276" w:beforeAutospacing="1" w:afterAutospacing="1"/>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t>Principal Investigator (</w:t>
      </w:r>
      <w:r>
        <w:rPr>
          <w:rFonts w:eastAsia="Times New Roman" w:cs="Times New Roman" w:ascii="Times New Roman" w:hAnsi="Times New Roman"/>
          <w:i/>
          <w:iCs/>
          <w:sz w:val="24"/>
          <w:szCs w:val="24"/>
          <w:lang w:val="en-US" w:eastAsia="el-GR"/>
        </w:rPr>
        <w:t>“Academic Supervisor”</w:t>
      </w:r>
      <w:r>
        <w:rPr>
          <w:rFonts w:eastAsia="Times New Roman" w:cs="Times New Roman" w:ascii="Times New Roman" w:hAnsi="Times New Roman"/>
          <w:sz w:val="24"/>
          <w:szCs w:val="24"/>
          <w:lang w:val="en-US" w:eastAsia="el-GR"/>
        </w:rPr>
        <w:t xml:space="preserve">): Agis Marinis. </w:t>
      </w:r>
      <w:r>
        <w:rPr>
          <w:rFonts w:eastAsia="Times New Roman" w:cs="Times New Roman" w:ascii="Times New Roman" w:hAnsi="Times New Roman"/>
          <w:bCs/>
          <w:sz w:val="24"/>
          <w:szCs w:val="24"/>
          <w:lang w:val="en-US" w:eastAsia="el-GR"/>
        </w:rPr>
        <w:t>Research Team Members</w:t>
      </w:r>
      <w:r>
        <w:rPr>
          <w:rFonts w:eastAsia="Times New Roman" w:cs="Times New Roman" w:ascii="Times New Roman" w:hAnsi="Times New Roman"/>
          <w:sz w:val="24"/>
          <w:szCs w:val="24"/>
          <w:lang w:val="en-US" w:eastAsia="el-GR"/>
        </w:rPr>
        <w:t xml:space="preserve">: Elina Daraklitsa, PhD in Theatre Studies (currently Assistant Professor, Department of Theatre Studies, National and Kapodistrian University of Athens), and Chrysanthi Mitta, philologist, PhD candidate at the Department of Theatre Studies, University of Patras (now a PhD holder). </w:t>
      </w:r>
      <w:r>
        <w:rPr>
          <w:rFonts w:eastAsia="Times New Roman" w:cs="Times New Roman" w:ascii="Times New Roman" w:hAnsi="Times New Roman"/>
          <w:bCs/>
          <w:sz w:val="24"/>
          <w:szCs w:val="24"/>
          <w:lang w:val="en-US" w:eastAsia="el-GR"/>
        </w:rPr>
        <w:t>Successful completion</w:t>
      </w:r>
      <w:r>
        <w:rPr>
          <w:rFonts w:eastAsia="Times New Roman" w:cs="Times New Roman" w:ascii="Times New Roman" w:hAnsi="Times New Roman"/>
          <w:sz w:val="24"/>
          <w:szCs w:val="24"/>
          <w:lang w:val="en-US" w:eastAsia="el-GR"/>
        </w:rPr>
        <w:t>, with participation in an international academic conference (published proceedings) and publication in an international peer-reviewed journal.</w:t>
      </w:r>
    </w:p>
    <w:p>
      <w:pPr>
        <w:pStyle w:val="Normal"/>
        <w:spacing w:lineRule="auto" w:line="276" w:beforeAutospacing="1" w:afterAutospacing="1"/>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Cs/>
          <w:sz w:val="24"/>
          <w:szCs w:val="24"/>
          <w:lang w:val="en-US" w:eastAsia="el-GR"/>
        </w:rPr>
        <w:t>Conference participation (26 October 2020)</w:t>
      </w:r>
      <w:r>
        <w:rPr>
          <w:rFonts w:eastAsia="Times New Roman" w:cs="Times New Roman" w:ascii="Times New Roman" w:hAnsi="Times New Roman"/>
          <w:sz w:val="24"/>
          <w:szCs w:val="24"/>
          <w:lang w:val="en-US" w:eastAsia="el-GR"/>
        </w:rPr>
        <w:t xml:space="preserve">: Agis Marinis, Elina Daraklitsa, Chrysanthi Mitta: </w:t>
      </w:r>
      <w:r>
        <w:rPr>
          <w:rFonts w:eastAsia="Times New Roman" w:cs="Times New Roman" w:ascii="Times New Roman" w:hAnsi="Times New Roman"/>
          <w:i/>
          <w:iCs/>
          <w:sz w:val="24"/>
          <w:szCs w:val="24"/>
          <w:lang w:val="en-US" w:eastAsia="el-GR"/>
        </w:rPr>
        <w:t>“The Mask in Commedia dell’Arte and Ancient Greek Comedy”</w:t>
      </w:r>
      <w:r>
        <w:rPr>
          <w:rFonts w:eastAsia="Times New Roman" w:cs="Times New Roman" w:ascii="Times New Roman" w:hAnsi="Times New Roman"/>
          <w:sz w:val="24"/>
          <w:szCs w:val="24"/>
          <w:lang w:val="en-US" w:eastAsia="el-GR"/>
        </w:rPr>
        <w:t xml:space="preserve">. Presented at the </w:t>
      </w:r>
      <w:r>
        <w:rPr>
          <w:rFonts w:eastAsia="Times New Roman" w:cs="Times New Roman" w:ascii="Times New Roman" w:hAnsi="Times New Roman"/>
          <w:bCs/>
          <w:sz w:val="24"/>
          <w:szCs w:val="24"/>
          <w:lang w:val="en-US" w:eastAsia="el-GR"/>
        </w:rPr>
        <w:t>International Scientific Conference on Art &amp; Humanities “The Magic of the Renaissance”</w:t>
      </w:r>
      <w:r>
        <w:rPr>
          <w:rFonts w:eastAsia="Times New Roman" w:cs="Times New Roman" w:ascii="Times New Roman" w:hAnsi="Times New Roman"/>
          <w:sz w:val="24"/>
          <w:szCs w:val="24"/>
          <w:lang w:val="en-US" w:eastAsia="el-GR"/>
        </w:rPr>
        <w:t xml:space="preserve">, Florence. Organized by </w:t>
      </w:r>
      <w:r>
        <w:rPr>
          <w:rFonts w:eastAsia="Times New Roman" w:cs="Times New Roman" w:ascii="Times New Roman" w:hAnsi="Times New Roman"/>
          <w:bCs/>
          <w:sz w:val="24"/>
          <w:szCs w:val="24"/>
          <w:lang w:val="en-US" w:eastAsia="el-GR"/>
        </w:rPr>
        <w:t>SWS International Society of Social Sciences, Humanities and Art</w:t>
      </w:r>
      <w:r>
        <w:rPr>
          <w:rFonts w:eastAsia="Times New Roman" w:cs="Times New Roman" w:ascii="Times New Roman" w:hAnsi="Times New Roman"/>
          <w:sz w:val="24"/>
          <w:szCs w:val="24"/>
          <w:lang w:val="en-US" w:eastAsia="el-GR"/>
        </w:rPr>
        <w:t>, 26–27 October 2020. The written version of the presentation was accepted with the highest grade (5–Excellent) following anonymous peer review and was published in the conference proceedings (</w:t>
      </w:r>
      <w:r>
        <w:rPr>
          <w:rFonts w:eastAsia="Times New Roman" w:cs="Times New Roman" w:ascii="Times New Roman" w:hAnsi="Times New Roman"/>
          <w:i/>
          <w:iCs/>
          <w:sz w:val="24"/>
          <w:szCs w:val="24"/>
          <w:lang w:val="en-US" w:eastAsia="el-GR"/>
        </w:rPr>
        <w:t>7th SWS International Scientific Conference on Arts and Humanities. ISCAH 2020. Conference Proceedings of Selected Articles</w:t>
      </w:r>
      <w:r>
        <w:rPr>
          <w:rFonts w:eastAsia="Times New Roman" w:cs="Times New Roman" w:ascii="Times New Roman" w:hAnsi="Times New Roman"/>
          <w:sz w:val="24"/>
          <w:szCs w:val="24"/>
          <w:lang w:val="en-US" w:eastAsia="el-GR"/>
        </w:rPr>
        <w:t>, Florence 2020), pp. 81–90.</w:t>
      </w:r>
    </w:p>
    <w:p>
      <w:pPr>
        <w:pStyle w:val="Normal"/>
        <w:spacing w:lineRule="auto" w:line="276" w:beforeAutospacing="1" w:afterAutospacing="1"/>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Cs/>
          <w:sz w:val="24"/>
          <w:szCs w:val="24"/>
          <w:lang w:val="en-US" w:eastAsia="el-GR"/>
        </w:rPr>
        <w:t>Article</w:t>
      </w:r>
      <w:r>
        <w:rPr>
          <w:rFonts w:eastAsia="Times New Roman" w:cs="Times New Roman" w:ascii="Times New Roman" w:hAnsi="Times New Roman"/>
          <w:sz w:val="24"/>
          <w:szCs w:val="24"/>
          <w:lang w:val="en-US" w:eastAsia="el-GR"/>
        </w:rPr>
        <w:t>:</w:t>
        <w:br/>
      </w:r>
      <w:r>
        <w:rPr>
          <w:rFonts w:eastAsia="Times New Roman" w:cs="Times New Roman" w:ascii="Times New Roman" w:hAnsi="Times New Roman"/>
          <w:iCs/>
          <w:sz w:val="24"/>
          <w:szCs w:val="24"/>
          <w:lang w:val="en-US" w:eastAsia="el-GR"/>
        </w:rPr>
        <w:t>“The Mask in Commedia dell’Arte and Ancient Greek Comedy. Towards a Comparative Approach, with Emphasis on the Methodology of Acting”</w:t>
      </w:r>
      <w:r>
        <w:rPr>
          <w:rFonts w:eastAsia="Times New Roman" w:cs="Times New Roman" w:ascii="Times New Roman" w:hAnsi="Times New Roman"/>
          <w:sz w:val="24"/>
          <w:szCs w:val="24"/>
          <w:lang w:val="en-US" w:eastAsia="el-GR"/>
        </w:rPr>
        <w:t xml:space="preserve">, </w:t>
      </w:r>
      <w:r>
        <w:rPr>
          <w:rFonts w:eastAsia="Times New Roman" w:cs="Times New Roman" w:ascii="Times New Roman" w:hAnsi="Times New Roman"/>
          <w:bCs/>
          <w:i/>
          <w:sz w:val="24"/>
          <w:szCs w:val="24"/>
          <w:lang w:val="en-US" w:eastAsia="el-GR"/>
        </w:rPr>
        <w:t>Mediterranean Chronicle</w:t>
      </w:r>
      <w:r>
        <w:rPr>
          <w:rFonts w:eastAsia="Times New Roman" w:cs="Times New Roman" w:ascii="Times New Roman" w:hAnsi="Times New Roman"/>
          <w:sz w:val="24"/>
          <w:szCs w:val="24"/>
          <w:lang w:val="en-US" w:eastAsia="el-GR"/>
        </w:rPr>
        <w:t xml:space="preserve"> 10 (2020), pp. 59–88.</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rHelvetic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3cd6"/>
    <w:pPr>
      <w:widowControl/>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3292c"/>
    <w:rPr>
      <w:b/>
      <w:bCs/>
    </w:rPr>
  </w:style>
  <w:style w:type="character" w:styleId="Emphasis">
    <w:name w:val="Emphasis"/>
    <w:basedOn w:val="DefaultParagraphFont"/>
    <w:uiPriority w:val="20"/>
    <w:qFormat/>
    <w:rsid w:val="00f3292c"/>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4" w:customStyle="1">
    <w:name w:val="Σώμα"/>
    <w:qFormat/>
    <w:rsid w:val="00c228c1"/>
    <w:pPr>
      <w:widowControl w:val="false"/>
      <w:suppressAutoHyphens w:val="true"/>
      <w:bidi w:val="0"/>
      <w:spacing w:lineRule="atLeast" w:line="320" w:before="0" w:after="0"/>
      <w:jc w:val="left"/>
    </w:pPr>
    <w:rPr>
      <w:rFonts w:ascii="GrHelvetica" w:hAnsi="GrHelvetica" w:eastAsia="Times New Roman" w:cs="GrHelvetica"/>
      <w:color w:val="000000"/>
      <w:kern w:val="0"/>
      <w:sz w:val="24"/>
      <w:szCs w:val="24"/>
      <w:lang w:val="en-US" w:eastAsia="hi-I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LibreOffice/7.3.7.2$Linux_X86_64 LibreOffice_project/30$Build-2</Application>
  <AppVersion>15.0000</AppVersion>
  <Pages>1</Pages>
  <Words>254</Words>
  <Characters>1595</Characters>
  <CharactersWithSpaces>1840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2025-04-06T16:37:00Z</dcterms:created>
  <dc:creator>DELL</dc:creator>
  <dc:description/>
  <dc:language>en-US</dc:language>
  <cp:lastModifiedBy/>
  <dcterms:modified xsi:type="dcterms:W3CDTF">2025-05-07T00:23:15Z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