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numPr>
          <w:ilvl w:val="0"/>
          <w:numId w:val="0"/>
        </w:numPr>
        <w:spacing w:before="480" w:after="0"/>
        <w:outlineLvl w:val="0"/>
        <w:rPr>
          <w:rFonts w:ascii="Cambria" w:hAnsi="Cambria" w:eastAsia="Times New Roman" w:cs="" w:asciiTheme="majorHAnsi" w:cstheme="majorBidi" w:hAnsiTheme="majorHAnsi"/>
          <w:b/>
          <w:b/>
          <w:bCs/>
          <w:sz w:val="28"/>
          <w:szCs w:val="28"/>
        </w:rPr>
      </w:pPr>
      <w:r>
        <w:rPr>
          <w:rFonts w:eastAsia="Times New Roman" w:cs="" w:ascii="Cambria" w:hAnsi="Cambria" w:asciiTheme="majorHAnsi" w:cstheme="majorBidi" w:hAnsiTheme="majorHAnsi"/>
          <w:b/>
          <w:bCs/>
          <w:sz w:val="28"/>
          <w:szCs w:val="28"/>
        </w:rPr>
        <w:t>Πανεπιστήμιο Πατρών. Τμήμα Θεατρικών Σπουδών –Εργαστήριο  Σκηνικής Πράξης και Λόγου.</w:t>
      </w:r>
    </w:p>
    <w:p>
      <w:pPr>
        <w:pStyle w:val="Normal"/>
        <w:spacing w:lineRule="auto" w:line="240" w:beforeAutospacing="1" w:afterAutospacing="1"/>
        <w:jc w:val="both"/>
        <w:rPr>
          <w:rFonts w:ascii="Cambria" w:hAnsi="Cambria" w:eastAsia="Times New Roman" w:cs="Times New Roman" w:asciiTheme="majorHAnsi" w:hAnsiTheme="majorHAnsi"/>
          <w:i/>
          <w:i/>
          <w:iCs/>
          <w:sz w:val="24"/>
          <w:szCs w:val="24"/>
        </w:rPr>
      </w:pPr>
      <w:r>
        <w:rPr>
          <w:rFonts w:eastAsia="Times New Roman" w:cs="Times New Roman" w:ascii="Cambria" w:hAnsi="Cambria" w:asciiTheme="majorHAnsi" w:hAnsiTheme="majorHAnsi"/>
          <w:i/>
          <w:iCs/>
          <w:sz w:val="24"/>
          <w:szCs w:val="24"/>
        </w:rPr>
        <w:t xml:space="preserve">Ομάδα εργασίας: Άγις Μαρίνης. Κάτια Σαβράμη, Αντώνης Βολανάκης (ΔΕΠ), μέλη του ΕΣΠΛΟ (ΕΕΠ)  και Γεωργία Δημοπούλου, μεταδιδακτορική φοιτήτρια του ΤΘΣ.. </w:t>
      </w:r>
    </w:p>
    <w:p>
      <w:pPr>
        <w:pStyle w:val="Normal"/>
        <w:spacing w:lineRule="auto" w:line="240" w:beforeAutospacing="1" w:afterAutospacing="1"/>
        <w:jc w:val="both"/>
        <w:rPr>
          <w:rFonts w:ascii="Cambria" w:hAnsi="Cambria" w:eastAsia="Times New Roman" w:cs="Times New Roman" w:asciiTheme="majorHAnsi" w:hAnsiTheme="majorHAnsi"/>
          <w:i/>
          <w:i/>
          <w:iCs/>
          <w:sz w:val="24"/>
          <w:szCs w:val="24"/>
        </w:rPr>
      </w:pPr>
      <w:hyperlink r:id="rId2">
        <w:r>
          <w:rPr>
            <w:rFonts w:eastAsia="Times New Roman" w:cs="Times New Roman" w:ascii="Cambria" w:hAnsi="Cambria" w:asciiTheme="majorHAnsi" w:hAnsiTheme="majorHAnsi"/>
            <w:i/>
            <w:iCs/>
            <w:color w:val="0000FF" w:themeColor="hyperlink"/>
            <w:sz w:val="24"/>
            <w:szCs w:val="24"/>
            <w:u w:val="single"/>
          </w:rPr>
          <w:t>https://www.theaterst.upatras.gr</w:t>
        </w:r>
      </w:hyperlink>
      <w:r>
        <w:rPr>
          <w:rFonts w:eastAsia="Times New Roman" w:cs="Times New Roman" w:ascii="Cambria" w:hAnsi="Cambria" w:asciiTheme="majorHAnsi" w:hAnsiTheme="majorHAnsi"/>
          <w:i/>
          <w:iCs/>
          <w:sz w:val="24"/>
          <w:szCs w:val="24"/>
        </w:rPr>
        <w:t xml:space="preserve"> </w:t>
      </w:r>
    </w:p>
    <w:p>
      <w:pPr>
        <w:pStyle w:val="Normal"/>
        <w:spacing w:lineRule="auto" w:line="240" w:beforeAutospacing="1" w:afterAutospacing="1"/>
        <w:jc w:val="both"/>
        <w:rPr>
          <w:rFonts w:ascii="Cambria" w:hAnsi="Cambria" w:eastAsia="Times New Roman" w:cs="Times New Roman" w:asciiTheme="majorHAnsi" w:hAnsiTheme="majorHAnsi"/>
          <w:i/>
          <w:i/>
          <w:iCs/>
          <w:sz w:val="24"/>
          <w:szCs w:val="24"/>
        </w:rPr>
      </w:pPr>
      <w:r>
        <w:rPr>
          <w:rFonts w:eastAsia="Times New Roman" w:cs="Times New Roman" w:ascii="Cambria" w:hAnsi="Cambria"/>
          <w:i/>
          <w:iCs/>
          <w:sz w:val="24"/>
          <w:szCs w:val="24"/>
        </w:rPr>
      </w:r>
    </w:p>
    <w:p>
      <w:pPr>
        <w:pStyle w:val="Normal"/>
        <w:keepNext w:val="true"/>
        <w:keepLines/>
        <w:numPr>
          <w:ilvl w:val="0"/>
          <w:numId w:val="0"/>
        </w:numPr>
        <w:spacing w:before="480" w:after="0"/>
        <w:outlineLvl w:val="0"/>
        <w:rPr>
          <w:rFonts w:ascii="Cambria" w:hAnsi="Cambria" w:eastAsia="Times New Roman" w:cs="" w:asciiTheme="majorHAnsi" w:cstheme="majorBidi" w:hAnsiTheme="majorHAnsi"/>
          <w:b/>
          <w:b/>
          <w:bCs/>
          <w:sz w:val="28"/>
          <w:szCs w:val="28"/>
        </w:rPr>
      </w:pPr>
      <w:r>
        <w:rPr>
          <w:rFonts w:eastAsia="Times New Roman" w:cs="" w:ascii="Cambria" w:hAnsi="Cambria" w:asciiTheme="majorHAnsi" w:cstheme="majorBidi" w:hAnsiTheme="majorHAnsi"/>
          <w:b/>
          <w:bCs/>
          <w:sz w:val="28"/>
          <w:szCs w:val="28"/>
        </w:rPr>
        <w:t xml:space="preserve">Πρόγραμμα EUNICoast (τετραετές Ευρωπαϊκό Πρόγραμμα) </w:t>
      </w:r>
    </w:p>
    <w:p>
      <w:pPr>
        <w:pStyle w:val="Normal"/>
        <w:spacing w:lineRule="auto" w:line="240" w:beforeAutospacing="1" w:afterAutospacing="1"/>
        <w:jc w:val="both"/>
        <w:rPr>
          <w:rFonts w:ascii="Cambria" w:hAnsi="Cambria" w:eastAsia="Aptos" w:cs="Times New Roman" w:asciiTheme="majorHAnsi" w:hAnsiTheme="majorHAnsi"/>
          <w:b/>
          <w:b/>
          <w:bCs/>
          <w:color w:val="000000"/>
          <w:kern w:val="2"/>
          <w:sz w:val="24"/>
          <w:szCs w:val="24"/>
          <w14:ligatures w14:val="standardContextual"/>
        </w:rPr>
      </w:pPr>
      <w:r>
        <w:rPr>
          <w:rFonts w:eastAsia="Aptos" w:cs="Times New Roman" w:ascii="Cambria" w:hAnsi="Cambria" w:asciiTheme="majorHAnsi" w:hAnsiTheme="majorHAnsi"/>
          <w:b/>
          <w:bCs/>
          <w:color w:val="000000"/>
          <w:kern w:val="2"/>
          <w:sz w:val="24"/>
          <w:szCs w:val="24"/>
          <w14:ligatures w14:val="standardContextual"/>
        </w:rPr>
        <w:t>EUNICOAST | ΟΜΑΔΑ 1 | ΤΑΥΤΌΤΗΤΕΣ, ΤΟΠΙΚΗ ΓΝΩΣΗ ΚΑΙ ΠΟΛΙΤΙΣΤΙΚΉ ΚΛΗΡΟΝΟΜΙΑ</w:t>
      </w:r>
    </w:p>
    <w:p>
      <w:pPr>
        <w:pStyle w:val="Normal"/>
        <w:spacing w:lineRule="auto" w:line="240" w:beforeAutospacing="1" w:afterAutospacing="1"/>
        <w:jc w:val="both"/>
        <w:rPr>
          <w:rFonts w:ascii="Cambria" w:hAnsi="Cambria" w:eastAsia="Aptos" w:cs="Times New Roman" w:asciiTheme="majorHAnsi" w:hAnsiTheme="majorHAnsi"/>
          <w:b/>
          <w:b/>
          <w:bCs/>
          <w:color w:val="000000"/>
          <w:kern w:val="2"/>
          <w:sz w:val="24"/>
          <w:szCs w:val="24"/>
          <w14:ligatures w14:val="standardContextual"/>
        </w:rPr>
      </w:pPr>
      <w:r>
        <w:rPr>
          <w:rFonts w:eastAsia="Aptos" w:cs="Times New Roman" w:ascii="Cambria" w:hAnsi="Cambria"/>
          <w:b/>
          <w:bCs/>
          <w:color w:val="000000"/>
          <w:kern w:val="2"/>
          <w:sz w:val="24"/>
          <w:szCs w:val="24"/>
          <w14:ligatures w14:val="standardContextual"/>
        </w:rPr>
      </w:r>
    </w:p>
    <w:p>
      <w:pPr>
        <w:pStyle w:val="Normal"/>
        <w:numPr>
          <w:ilvl w:val="0"/>
          <w:numId w:val="0"/>
        </w:numPr>
        <w:spacing w:lineRule="auto" w:line="240" w:beforeAutospacing="1" w:afterAutospacing="1"/>
        <w:jc w:val="both"/>
        <w:outlineLvl w:val="2"/>
        <w:rPr>
          <w:rFonts w:ascii="Cambria" w:hAnsi="Cambria" w:eastAsia="Times New Roman" w:cs="Times New Roman" w:asciiTheme="majorHAnsi" w:hAnsiTheme="majorHAnsi"/>
          <w:b/>
          <w:b/>
          <w:bCs/>
          <w:sz w:val="24"/>
          <w:szCs w:val="24"/>
          <w:lang w:eastAsia="el-GR"/>
        </w:rPr>
      </w:pPr>
      <w:r>
        <w:rPr>
          <w:rFonts w:eastAsia="Times New Roman" w:cs="Times New Roman" w:ascii="Cambria" w:hAnsi="Cambria" w:asciiTheme="majorHAnsi" w:hAnsiTheme="majorHAnsi"/>
          <w:b/>
          <w:bCs/>
          <w:sz w:val="24"/>
          <w:szCs w:val="24"/>
          <w:lang w:eastAsia="el-GR"/>
        </w:rPr>
        <w:t xml:space="preserve">Εισαγωγή </w:t>
      </w:r>
    </w:p>
    <w:p>
      <w:pPr>
        <w:pStyle w:val="Normal"/>
        <w:spacing w:lineRule="auto" w:line="240" w:beforeAutospacing="1" w:afterAutospacing="1"/>
        <w:jc w:val="both"/>
        <w:rPr>
          <w:rFonts w:ascii="Cambria" w:hAnsi="Cambria" w:eastAsia="Times New Roman" w:cs="Times New Roman" w:asciiTheme="majorHAnsi" w:hAnsiTheme="majorHAnsi"/>
          <w:i/>
          <w:i/>
          <w:iCs/>
          <w:sz w:val="24"/>
          <w:szCs w:val="24"/>
        </w:rPr>
      </w:pPr>
      <w:r>
        <w:rPr>
          <w:rFonts w:eastAsia="Times New Roman" w:cs="Times New Roman" w:ascii="Cambria" w:hAnsi="Cambria" w:asciiTheme="majorHAnsi" w:hAnsiTheme="majorHAnsi"/>
          <w:i/>
          <w:iCs/>
          <w:sz w:val="24"/>
          <w:szCs w:val="24"/>
        </w:rPr>
        <w:t xml:space="preserve">Από την παρουσίαση του εγχειριδίου του EUNICOAST διαβάζουμε ότι: «Τα Ευρωπαϊκά Πανεπιστήμια αποτελούν εμβληματική πρωτοβουλία της Ευρωπαϊκής Επιτροπής, με στόχο «να υποστηρίξουν και να επιτρέψουν στα πανεπιστήμια να προσαρμοστούν στις μεταβαλλόμενες συνθήκες, να ευδοκιμήσουν και να συμβάλουν στην ανθεκτικότητα και την ανάκαμψη της Ευρώπης». </w:t>
      </w:r>
    </w:p>
    <w:p>
      <w:pPr>
        <w:pStyle w:val="Normal"/>
        <w:spacing w:lineRule="auto" w:line="240" w:beforeAutospacing="1" w:afterAutospacing="1"/>
        <w:ind w:firstLine="720"/>
        <w:jc w:val="both"/>
        <w:rPr>
          <w:rFonts w:ascii="Cambria" w:hAnsi="Cambria" w:eastAsia="Times New Roman" w:cs="Times New Roman" w:asciiTheme="majorHAnsi" w:hAnsiTheme="majorHAnsi"/>
          <w:sz w:val="24"/>
          <w:szCs w:val="24"/>
        </w:rPr>
      </w:pPr>
      <w:r>
        <w:rPr>
          <w:rFonts w:eastAsia="Times New Roman" w:cs="Times New Roman" w:ascii="Cambria" w:hAnsi="Cambria" w:asciiTheme="majorHAnsi" w:hAnsiTheme="majorHAnsi"/>
          <w:sz w:val="24"/>
          <w:szCs w:val="24"/>
        </w:rPr>
        <w:t xml:space="preserve">Οι τρέχουσες ανησυχίες σχετικά με ζητήματα σχετικά με την παγκοσμιοποίηση, τον διεθνισμό, τη διεθνικότητα και τον κοσμοπολιτισμό, καθώς και το διεθνές εμπόριο και τη ροή του παγκόσμιου κεφαλαίου αποτελούν μέρος της εκπαίδευσης σε πανεπιστημιακό επίπεδο σήμερα. Η ροή πληροφοριών από τα παγκόσμια μέσα ενημέρωσης, η διασυνδεσιμότητα των πολιτιστικών μας εμπειριών, συμπεριλαμβανομένης της διακαλλιτεχνικής εκπαίδευσης και παραγωγής, και ο αυξανόμενος αριθμός ανθρώπων που διασχίζουν τα εθνικά σύνορα ως μετανάστες, τουρίστες, πρόσφυγες και πλανόδιοι εργαζόμενοι και ερευνητές είναι ζητήματα που αντιμετωπίζει σήμερα ο κόσμος.  Όπως πραγματεύεται ο Μπένεντικτ Άντερσον «το τέλος της εποχής του εθνικισμού»,  δεν είναι εξ αποστάσεως ορατό. Πράγματι, το έθνος είναι η πιο καθολικά νόμιμη αξία στην πολιτική ζωή της εποχής μας» (Anderson, B., </w:t>
      </w:r>
      <w:r>
        <w:rPr>
          <w:rFonts w:eastAsia="Times New Roman" w:cs="Times New Roman" w:ascii="Cambria" w:hAnsi="Cambria" w:asciiTheme="majorHAnsi" w:hAnsiTheme="majorHAnsi"/>
          <w:i/>
          <w:iCs/>
          <w:sz w:val="24"/>
          <w:szCs w:val="24"/>
        </w:rPr>
        <w:t>Imagined Communities</w:t>
      </w:r>
      <w:r>
        <w:rPr>
          <w:rFonts w:eastAsia="Times New Roman" w:cs="Times New Roman" w:ascii="Cambria" w:hAnsi="Cambria" w:asciiTheme="majorHAnsi" w:hAnsiTheme="majorHAnsi"/>
          <w:sz w:val="24"/>
          <w:szCs w:val="24"/>
        </w:rPr>
        <w:t xml:space="preserve">, rev. ed., London: Verso, 2006: 3). Η αξία του «ανήκειν», εκτός από την πολιτική δύναμη που κάθε έθνος μπορεί να χρησιμοποιήσει στη δική του σφαίρα επιρροής, αυξάνει την ευαισθητοποίηση για την κεντρική πτυχή της ταυτότητας των ανθρώπινων μπαχαρικών κοινή σε όλους, το σώμα. </w:t>
      </w:r>
    </w:p>
    <w:p>
      <w:pPr>
        <w:pStyle w:val="Normal"/>
        <w:spacing w:lineRule="auto" w:line="240" w:beforeAutospacing="1" w:afterAutospacing="1"/>
        <w:jc w:val="both"/>
        <w:rPr>
          <w:rFonts w:ascii="Cambria" w:hAnsi="Cambria" w:eastAsia="Times New Roman" w:cs="Times New Roman" w:asciiTheme="majorHAnsi" w:hAnsiTheme="majorHAnsi"/>
          <w:sz w:val="24"/>
          <w:szCs w:val="24"/>
        </w:rPr>
      </w:pPr>
      <w:r>
        <w:rPr>
          <w:rFonts w:eastAsia="Times New Roman" w:cs="Times New Roman" w:ascii="Cambria" w:hAnsi="Cambria" w:asciiTheme="majorHAnsi" w:hAnsiTheme="majorHAnsi"/>
          <w:sz w:val="24"/>
          <w:szCs w:val="24"/>
        </w:rPr>
        <w:tab/>
        <w:t>Το ανθρώπινο σώμα είναι το κύριο μέσο ύπαρξης στον κόσμο και επικοινωνίας (μη λεκτικά). Στην εκπαίδευση το σώμα εξετάζεται μέσω μιας ατομικής ή διεπιστημονικής προσέγγισης στις πανεπιστημιακές σπουδές σε θέματα όπως η ιστορία, η βιολογία, η ψυχολογία, η ανθρωπολογία, η κοινωνιολογία, οι νευροεπιστήμες, οι σπουδές επικοινωνίας, η αισθητική και η τέχνη κ.λπ. Επιπλέον, η γλώσσα, όπως και ο κώδικας κάθε γνώσης, είναι ένας σχεσιακός κώδικας, μια δημιουργική λειτουργία του εγκεφάλου και ακριβώς από αυτό το γεγονός και την αναδρομική του ιδιότητα αντλείται η καινοτομία και η ελευθερία του (Fuster, J.M., 2013, The Neuroscience of Freedom and Creativity: Our Predictive Brain. Cambridge: Πανεπιστημιακός Τύπος του Cambridge). Ωστόσο, η ολιστική ενσωμάτωση του κόσμου απαιτεί αυτονομία και σκοπιμότητα και ένα απαραίτητο και ολοκληρωμένο δυναμικό δίκτυο μεταξύ ενός ενεργού εγκεφάλου-σώματος (Maturana, H. R., and F. J. Varela. 1980. Αυτοποίηση και Νόηση: Η Πραγμάτωση των Ζωντανών. Ντόρντρεχτ: D. Reidel). Ο συνολικός άνθρωπος μέσω της σωματικής του γνώσης ασχολείται με τον έμβιο κόσμο και στοχεύει στην απόκτηση γνώσεων και νοημάτων (</w:t>
      </w:r>
      <w:r>
        <w:rPr>
          <w:rFonts w:cs="Times New Roman" w:ascii="Cambria" w:hAnsi="Cambria" w:asciiTheme="majorHAnsi" w:hAnsiTheme="majorHAnsi"/>
          <w:sz w:val="24"/>
          <w:szCs w:val="24"/>
        </w:rPr>
        <w:t xml:space="preserve">G., </w:t>
      </w:r>
      <w:r>
        <w:rPr>
          <w:rFonts w:eastAsia="Times New Roman" w:cs="Times New Roman" w:ascii="Cambria" w:hAnsi="Cambria" w:asciiTheme="majorHAnsi" w:hAnsiTheme="majorHAnsi"/>
          <w:sz w:val="24"/>
          <w:szCs w:val="24"/>
        </w:rPr>
        <w:t xml:space="preserve">Colombetti, 2010. </w:t>
      </w:r>
      <w:r>
        <w:rPr>
          <w:rFonts w:eastAsia="Times New Roman" w:cs="Times New Roman" w:ascii="Cambria" w:hAnsi="Cambria" w:asciiTheme="majorHAnsi" w:hAnsiTheme="majorHAnsi"/>
          <w:sz w:val="24"/>
          <w:szCs w:val="24"/>
          <w:lang w:val="en-US"/>
        </w:rPr>
        <w:t>«</w:t>
      </w:r>
      <w:r>
        <w:rPr>
          <w:rFonts w:eastAsia="Times New Roman" w:cs="Times New Roman" w:ascii="Cambria" w:hAnsi="Cambria" w:asciiTheme="majorHAnsi" w:hAnsiTheme="majorHAnsi"/>
          <w:sz w:val="24"/>
          <w:szCs w:val="24"/>
        </w:rPr>
        <w:t>Δράση</w:t>
      </w:r>
      <w:r>
        <w:rPr>
          <w:rFonts w:eastAsia="Times New Roman" w:cs="Times New Roman" w:ascii="Cambria" w:hAnsi="Cambria" w:asciiTheme="majorHAnsi" w:hAnsiTheme="majorHAnsi"/>
          <w:sz w:val="24"/>
          <w:szCs w:val="24"/>
          <w:lang w:val="en-US"/>
        </w:rPr>
        <w:t xml:space="preserve">, </w:t>
      </w:r>
      <w:r>
        <w:rPr>
          <w:rFonts w:eastAsia="Times New Roman" w:cs="Times New Roman" w:ascii="Cambria" w:hAnsi="Cambria" w:asciiTheme="majorHAnsi" w:hAnsiTheme="majorHAnsi"/>
          <w:sz w:val="24"/>
          <w:szCs w:val="24"/>
        </w:rPr>
        <w:t>δημιουργία</w:t>
      </w:r>
      <w:r>
        <w:rPr>
          <w:rFonts w:eastAsia="Times New Roman" w:cs="Times New Roman" w:ascii="Cambria" w:hAnsi="Cambria" w:asciiTheme="majorHAnsi" w:hAnsiTheme="majorHAnsi"/>
          <w:sz w:val="24"/>
          <w:szCs w:val="24"/>
          <w:lang w:val="en-US"/>
        </w:rPr>
        <w:t xml:space="preserve"> </w:t>
      </w:r>
      <w:r>
        <w:rPr>
          <w:rFonts w:eastAsia="Times New Roman" w:cs="Times New Roman" w:ascii="Cambria" w:hAnsi="Cambria" w:asciiTheme="majorHAnsi" w:hAnsiTheme="majorHAnsi"/>
          <w:sz w:val="24"/>
          <w:szCs w:val="24"/>
        </w:rPr>
        <w:t>αίσθησης</w:t>
      </w:r>
      <w:r>
        <w:rPr>
          <w:rFonts w:eastAsia="Times New Roman" w:cs="Times New Roman" w:ascii="Cambria" w:hAnsi="Cambria" w:asciiTheme="majorHAnsi" w:hAnsiTheme="majorHAnsi"/>
          <w:sz w:val="24"/>
          <w:szCs w:val="24"/>
          <w:lang w:val="en-US"/>
        </w:rPr>
        <w:t xml:space="preserve"> </w:t>
      </w:r>
      <w:r>
        <w:rPr>
          <w:rFonts w:eastAsia="Times New Roman" w:cs="Times New Roman" w:ascii="Cambria" w:hAnsi="Cambria" w:asciiTheme="majorHAnsi" w:hAnsiTheme="majorHAnsi"/>
          <w:sz w:val="24"/>
          <w:szCs w:val="24"/>
        </w:rPr>
        <w:t>και</w:t>
      </w:r>
      <w:r>
        <w:rPr>
          <w:rFonts w:eastAsia="Times New Roman" w:cs="Times New Roman" w:ascii="Cambria" w:hAnsi="Cambria" w:asciiTheme="majorHAnsi" w:hAnsiTheme="majorHAnsi"/>
          <w:sz w:val="24"/>
          <w:szCs w:val="24"/>
          <w:lang w:val="en-US"/>
        </w:rPr>
        <w:t xml:space="preserve"> </w:t>
      </w:r>
      <w:r>
        <w:rPr>
          <w:rFonts w:eastAsia="Times New Roman" w:cs="Times New Roman" w:ascii="Cambria" w:hAnsi="Cambria" w:asciiTheme="majorHAnsi" w:hAnsiTheme="majorHAnsi"/>
          <w:sz w:val="24"/>
          <w:szCs w:val="24"/>
        </w:rPr>
        <w:t>συναισθήματος</w:t>
      </w:r>
      <w:r>
        <w:rPr>
          <w:rFonts w:eastAsia="Times New Roman" w:cs="Times New Roman" w:ascii="Cambria" w:hAnsi="Cambria" w:asciiTheme="majorHAnsi" w:hAnsiTheme="majorHAnsi"/>
          <w:sz w:val="24"/>
          <w:szCs w:val="24"/>
          <w:lang w:val="en-US"/>
        </w:rPr>
        <w:t xml:space="preserve">». In Enaction: Towards a New Paradigm for Cognitive Science, </w:t>
      </w:r>
      <w:r>
        <w:rPr>
          <w:rFonts w:eastAsia="Times New Roman" w:cs="Times New Roman" w:ascii="Cambria" w:hAnsi="Cambria" w:asciiTheme="majorHAnsi" w:hAnsiTheme="majorHAnsi"/>
          <w:sz w:val="24"/>
          <w:szCs w:val="24"/>
        </w:rPr>
        <w:t>επιμέλεια</w:t>
      </w:r>
      <w:r>
        <w:rPr>
          <w:rFonts w:eastAsia="Times New Roman" w:cs="Times New Roman" w:ascii="Cambria" w:hAnsi="Cambria" w:asciiTheme="majorHAnsi" w:hAnsiTheme="majorHAnsi"/>
          <w:sz w:val="24"/>
          <w:szCs w:val="24"/>
          <w:lang w:val="en-US"/>
        </w:rPr>
        <w:t xml:space="preserve"> J. Stewart, O. Gapenne, and E. A. Di Paolo, 145–164. </w:t>
      </w:r>
      <w:r>
        <w:rPr>
          <w:rFonts w:eastAsia="Times New Roman" w:cs="Times New Roman" w:ascii="Cambria" w:hAnsi="Cambria" w:asciiTheme="majorHAnsi" w:hAnsiTheme="majorHAnsi"/>
          <w:sz w:val="24"/>
          <w:szCs w:val="24"/>
        </w:rPr>
        <w:t>Cambridge, MA: MIT Press).</w:t>
      </w:r>
    </w:p>
    <w:p>
      <w:pPr>
        <w:pStyle w:val="Normal"/>
        <w:spacing w:lineRule="auto" w:line="240" w:beforeAutospacing="1" w:afterAutospacing="1"/>
        <w:ind w:firstLine="720"/>
        <w:jc w:val="both"/>
        <w:rPr>
          <w:rFonts w:ascii="Cambria" w:hAnsi="Cambria" w:eastAsia="Times New Roman" w:cs="Times New Roman" w:asciiTheme="majorHAnsi" w:hAnsiTheme="majorHAnsi"/>
          <w:sz w:val="24"/>
          <w:szCs w:val="24"/>
        </w:rPr>
      </w:pPr>
      <w:r>
        <w:rPr>
          <w:rFonts w:eastAsia="Times New Roman" w:cs="Times New Roman" w:ascii="Cambria" w:hAnsi="Cambria" w:asciiTheme="majorHAnsi" w:hAnsiTheme="majorHAnsi"/>
          <w:sz w:val="24"/>
          <w:szCs w:val="24"/>
        </w:rPr>
        <w:t>Οι παραστάσεις σήμερα υποδηλώνουν ένα σύνθετο πλέγμα σχέσεων μεταξύ σωματικών, γλωσσικών, οπτικών και ακουστικών επιπέδων νοηματοδότησης και ενεργοποιούν τόσο τους ερμηνευτές όσο και το κοινό να αναγνωρίσουν την ιδιαιτερότητα κάθε τέχνης που περιλαμβάνεται και σχετίζεται με το ευρύτερο διεπιστημονικό της πλαίσιο για τη δημιουργία, την κατανόηση και την εκτίμηση του νοήματός της στην εκπαίδευση και στη ζωή.</w:t>
      </w:r>
    </w:p>
    <w:p>
      <w:pPr>
        <w:pStyle w:val="Normal"/>
        <w:rPr>
          <w:rFonts w:ascii="Cambria" w:hAnsi="Cambria" w:asciiTheme="majorHAnsi" w:hAnsiTheme="majorHAnsi"/>
          <w:sz w:val="24"/>
          <w:szCs w:val="24"/>
        </w:rPr>
      </w:pPr>
      <w:r>
        <w:rPr>
          <w:rFonts w:asciiTheme="majorHAnsi" w:hAnsiTheme="majorHAnsi" w:ascii="Cambria" w:hAnsi="Cambria"/>
          <w:sz w:val="24"/>
          <w:szCs w:val="24"/>
        </w:rPr>
      </w:r>
    </w:p>
    <w:p>
      <w:pPr>
        <w:pStyle w:val="Normal"/>
        <w:numPr>
          <w:ilvl w:val="0"/>
          <w:numId w:val="0"/>
        </w:numPr>
        <w:spacing w:lineRule="auto" w:line="240" w:beforeAutospacing="1" w:afterAutospacing="1"/>
        <w:jc w:val="both"/>
        <w:outlineLvl w:val="2"/>
        <w:rPr>
          <w:rFonts w:ascii="Cambria" w:hAnsi="Cambria" w:eastAsia="Times New Roman" w:cs="Times New Roman" w:asciiTheme="majorHAnsi" w:hAnsiTheme="majorHAnsi"/>
          <w:b/>
          <w:b/>
          <w:bCs/>
          <w:sz w:val="24"/>
          <w:szCs w:val="24"/>
          <w:lang w:eastAsia="el-GR"/>
        </w:rPr>
      </w:pPr>
      <w:r>
        <w:rPr>
          <w:rFonts w:eastAsia="Times New Roman" w:cs="Times New Roman" w:ascii="Cambria" w:hAnsi="Cambria" w:asciiTheme="majorHAnsi" w:hAnsiTheme="majorHAnsi"/>
          <w:b/>
          <w:bCs/>
          <w:sz w:val="24"/>
          <w:szCs w:val="24"/>
          <w:lang w:eastAsia="el-GR"/>
        </w:rPr>
        <w:t>Έρευνα</w:t>
      </w:r>
    </w:p>
    <w:p>
      <w:pPr>
        <w:pStyle w:val="Normal"/>
        <w:spacing w:lineRule="auto" w:line="240" w:beforeAutospacing="1" w:afterAutospacing="1"/>
        <w:ind w:firstLine="72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 xml:space="preserve">Διδακτορικά, μεταπτυχιακά και ΔΒΜ στο Αρχαίο Ελληνικό Θέατρο που προσφέρει το Πανεπιστήμιο Πατρών, απευθύνονται σε ένα διεθνές κοινό, ιδιαίτερα ερευνητές που ενδιαφέρονται να αποκτήσουν παγκόσμια και έγκυρη γνώση για το αρχαίο θέατρο και να εμβαθύνουν με επιστημονικό τρόπο. Στην ερευνητική μας πρόταση προτείνουμε ότι το Αρχαίο Ελληνικό Θέατρο ως συνεργατική και συλλογική μορφή τέχνης μπορεί να ενισχύσει την ακαδημαϊκή ελευθερία και τη θεσμική αυτονομία και να ενισχύσει την ευρωπαϊκή ταυτότητα. Μέσω των Θεατρικών Σπουδών ενισχύεται η έρευνα και η καινοτομία, καθώς και οι έννοιες της ισότητας των φύλων, της ένταξης, της διαφορετικότητας και της ισότητας που συζητούνται και βιώνονται επί τόπου σε περιβάλλοντα τριτοβάθμιας εκπαίδευσης. Επίσης, η Θεατρική Πράξη είναι και μπορεί να προωθήσει τη γνώση και να επιτρέψει την κυκλοφορία ταλέντων, να ενεργοποιήσει ένα βαθύτερο επίπεδο διακρατικής θεσμικής συνεργασίας και να επηρεάσει τη διά βίου μάθηση στην τριτοβάθμια εκπαίδευση.  Εκτός από τη θεωρητική προσέγγιση στην έρευνα, υποστηρίζουμε την πρακτική ως έρευνα. </w:t>
      </w:r>
      <w:r>
        <w:rPr>
          <w:rFonts w:eastAsia="Times New Roman" w:cs="Arial" w:ascii="Cambria" w:hAnsi="Cambria" w:asciiTheme="majorHAnsi" w:hAnsiTheme="majorHAnsi"/>
          <w:color w:val="000000"/>
          <w:sz w:val="24"/>
          <w:szCs w:val="24"/>
          <w:lang w:eastAsia="el-GR"/>
        </w:rPr>
        <w:t>Οι πρακτικές τέχνης σε ακαδημαϊκά περιβάλλοντα βασίζονται σε μια ποικιλία δημιουργικών μεθοδολογιών που θα μπορούσαν να ενσωματωθούν σε διεπιστημονικά ερευνητικά έργα ως μεθοδολογικές καινοτομίες, παρέχοντας νέες προοπτικές και επεκτείνοντας την υπάρχουσα γνώση καθώς και υλοποιώντας ένα διαφορετικό είδος πρακτικής γνώσης.</w:t>
      </w:r>
      <w:r>
        <w:rPr>
          <w:rFonts w:eastAsia="Times New Roman" w:cs="Times New Roman" w:ascii="Cambria" w:hAnsi="Cambria" w:asciiTheme="majorHAnsi" w:hAnsiTheme="majorHAnsi"/>
          <w:sz w:val="24"/>
          <w:szCs w:val="24"/>
          <w:lang w:eastAsia="el-GR"/>
        </w:rPr>
        <w:t xml:space="preserve"> Η πρακτική ως έρευνα παρέχει έγκυρη γνώση και μια εμπειρική ερευνητική διαδικασία μέσω των τεχνών που οδηγεί σε μια παραγωγή που σχετίζεται με τις τέχνες αντλώντας από μια διεπιστημονική προσέγγιση.</w:t>
      </w:r>
    </w:p>
    <w:p>
      <w:pPr>
        <w:pStyle w:val="Normal"/>
        <w:spacing w:lineRule="auto" w:line="240" w:beforeAutospacing="1" w:afterAutospacing="1"/>
        <w:ind w:firstLine="720"/>
        <w:jc w:val="both"/>
        <w:rPr>
          <w:rFonts w:ascii="Cambria" w:hAnsi="Cambria" w:eastAsia="Times New Roman" w:cs="Times New Roman" w:asciiTheme="majorHAnsi" w:hAnsiTheme="majorHAnsi"/>
          <w:sz w:val="24"/>
          <w:szCs w:val="24"/>
          <w:lang w:eastAsia="el-GR"/>
        </w:rPr>
      </w:pPr>
      <w:r>
        <w:rPr>
          <w:rFonts w:eastAsia="Aptos" w:cs="Times New Roman" w:ascii="Cambria" w:hAnsi="Cambria" w:asciiTheme="majorHAnsi" w:hAnsiTheme="majorHAnsi"/>
          <w:kern w:val="2"/>
          <w:sz w:val="24"/>
          <w:szCs w:val="24"/>
          <w14:ligatures w14:val="standardContextual"/>
        </w:rPr>
        <w:t xml:space="preserve">Με βάση τη Σύμβαση της </w:t>
      </w:r>
      <w:hyperlink r:id="rId3">
        <w:r>
          <w:rPr>
            <w:rFonts w:eastAsia="Times New Roman" w:cs="Times New Roman" w:ascii="Cambria" w:hAnsi="Cambria" w:asciiTheme="majorHAnsi" w:hAnsiTheme="majorHAnsi"/>
            <w:kern w:val="2"/>
            <w:sz w:val="24"/>
            <w:szCs w:val="24"/>
            <w14:ligatures w14:val="standardContextual"/>
          </w:rPr>
          <w:t>UNESCO του 2003</w:t>
        </w:r>
      </w:hyperlink>
      <w:r>
        <w:rPr>
          <w:rFonts w:eastAsia="Aptos" w:cs="Times New Roman" w:ascii="Cambria" w:hAnsi="Cambria" w:asciiTheme="majorHAnsi" w:hAnsiTheme="majorHAnsi"/>
          <w:kern w:val="2"/>
          <w:sz w:val="24"/>
          <w:szCs w:val="24"/>
          <w14:ligatures w14:val="standardContextual"/>
        </w:rPr>
        <w:t xml:space="preserve"> που τονίζει την ανάγκη διαφύλαξης της πολιτιστικής έκφρασης για τις μελλοντικές γενιές, η πρότασή μας γίνεται μέσω του Αρχαίου Ελληνικού Θεάτρου. Η διδασκαλία και η εκμάθηση του Αρχαίου Ελληνικού Δράματος σε πανεπιστημιακό επίπεδο δημιουργεί ένα παγκόσμιο θεωρητικό και πρακτικό κοινό έδαφος και η γνώση που γνωρίζει και κατανοεί, είναι συμπεριληπτική. Αυτού του είδους η άυλη πολιτιστική κληρονομιά που αγκαλιάζει όλες τις πτυχές του θεάτρου, τη θεωρία και τις πρακτικές του, καθώς και ποικίλες εκφράσεις για θέματα ζωής, μπορεί να λειτουργήσει ως συμμαχία προσέγγισης και εκτίμησης του σημερινού κόσμου. </w:t>
      </w:r>
      <w:r>
        <w:rPr>
          <w:rFonts w:eastAsia="Times New Roman" w:cs="Times New Roman" w:ascii="Cambria" w:hAnsi="Cambria" w:asciiTheme="majorHAnsi" w:hAnsiTheme="majorHAnsi"/>
          <w:sz w:val="24"/>
          <w:szCs w:val="24"/>
          <w:lang w:eastAsia="el-GR"/>
        </w:rPr>
        <w:t xml:space="preserve">Επιπλέον, </w:t>
      </w:r>
      <w:r>
        <w:rPr>
          <w:rFonts w:eastAsia="" w:cs="Times New Roman" w:ascii="Cambria" w:hAnsi="Cambria" w:asciiTheme="majorHAnsi" w:eastAsiaTheme="majorEastAsia" w:hAnsiTheme="majorHAnsi"/>
          <w:sz w:val="24"/>
          <w:szCs w:val="24"/>
          <w:lang w:eastAsia="el-GR"/>
        </w:rPr>
        <w:t xml:space="preserve">το Αρχαίο Ελληνικό Θέατρο είναι μια συνεργατική μορφή τέχνης που συνδέει διαφορετικές ταυτότητες και εκφράζει ανθρώπινες σκέψεις, συναισθήματα και συμπεριφορές </w:t>
      </w:r>
      <w:r>
        <w:rPr>
          <w:rFonts w:eastAsia="Times New Roman" w:cs="Times New Roman" w:ascii="Cambria" w:hAnsi="Cambria" w:asciiTheme="majorHAnsi" w:hAnsiTheme="majorHAnsi"/>
          <w:sz w:val="24"/>
          <w:szCs w:val="24"/>
          <w:lang w:eastAsia="el-GR"/>
        </w:rPr>
        <w:t xml:space="preserve">που λειτουργούν σε κοινότητες </w:t>
      </w:r>
      <w:r>
        <w:rPr>
          <w:rFonts w:eastAsia="" w:cs="Times New Roman" w:ascii="Cambria" w:hAnsi="Cambria" w:asciiTheme="majorHAnsi" w:eastAsiaTheme="majorEastAsia" w:hAnsiTheme="majorHAnsi"/>
          <w:sz w:val="24"/>
          <w:szCs w:val="24"/>
          <w:lang w:eastAsia="el-GR"/>
        </w:rPr>
        <w:t xml:space="preserve">συνδυάζοντας κείμενο, φωνή, κίνηση, οπτικά στοιχεία και τεχνολογία, για να εκφράσουν ζητήματα ζωής. </w:t>
      </w:r>
      <w:r>
        <w:rPr>
          <w:rFonts w:eastAsia="Times New Roman" w:cs="Times New Roman" w:ascii="Cambria" w:hAnsi="Cambria" w:asciiTheme="majorHAnsi" w:hAnsiTheme="majorHAnsi"/>
          <w:sz w:val="24"/>
          <w:szCs w:val="24"/>
          <w:lang w:eastAsia="el-GR"/>
        </w:rPr>
        <w:t>Ως Έλληνες αναγνωρίζουμε το Αρχαίο Ελληνικό Θέατρο, τη Θεωρία και τις Πρακτικές του, Τότε και Τώρα, ως μέρος της πολιτιστικής μας ταυτότητας αλλά και πιστεύουμε ότι αυτού του είδους η γνώση και οι πρακτικές που ζητούν δημιουργικότητα, υποδοχή και εκτίμηση μπορούν να προσφέρουν ένα κοινό έδαφος και γλώσσα που ενεργοποιεί την ανθρώπινη εκφραστικότητα και αντανακλά τη σύγχρονη σύγχρονη ηθική και ηθική,  που μπορούν να προωθήσουν τις ευρωπαϊκές αξίες.</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Βασικοί στόχοι:</w:t>
      </w:r>
    </w:p>
    <w:p>
      <w:pPr>
        <w:pStyle w:val="Normal"/>
        <w:numPr>
          <w:ilvl w:val="0"/>
          <w:numId w:val="7"/>
        </w:numPr>
        <w:spacing w:lineRule="auto" w:line="240" w:beforeAutospacing="1"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Ενίσχυση της ακαδημαϊκής ελευθερίας και της θεσμικής αυτονομίας, με παράλληλη προώθηση της ευρωπαϊκής ταυτότητας.</w:t>
      </w:r>
    </w:p>
    <w:p>
      <w:pPr>
        <w:pStyle w:val="Normal"/>
        <w:numPr>
          <w:ilvl w:val="0"/>
          <w:numId w:val="7"/>
        </w:numPr>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Προώθηση της ισότητας των φύλων, της συμμετοχικότητας, της πολυμορφίας και της ισότητας στην τριτοβάθμια εκπαίδευση.</w:t>
      </w:r>
    </w:p>
    <w:p>
      <w:pPr>
        <w:pStyle w:val="Normal"/>
        <w:numPr>
          <w:ilvl w:val="0"/>
          <w:numId w:val="7"/>
        </w:numPr>
        <w:spacing w:lineRule="auto" w:line="240" w:before="0" w:afterAutospacing="1"/>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Ενθάρρυνση της καινοτομίας μέσω μεθοδολογιών που βασίζονται στην πράξη, προωθώντας τη γνώση μέσω διεπιστημονικής συνεργασίας.</w:t>
      </w:r>
    </w:p>
    <w:p>
      <w:pPr>
        <w:pStyle w:val="Normal"/>
        <w:spacing w:lineRule="auto" w:line="240" w:beforeAutospacing="1" w:afterAutospacing="1"/>
        <w:ind w:firstLine="72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sz w:val="24"/>
          <w:szCs w:val="24"/>
          <w:lang w:eastAsia="el-GR"/>
        </w:rPr>
      </w:r>
    </w:p>
    <w:p>
      <w:pPr>
        <w:pStyle w:val="Normal"/>
        <w:numPr>
          <w:ilvl w:val="0"/>
          <w:numId w:val="0"/>
        </w:numPr>
        <w:spacing w:lineRule="auto" w:line="240" w:beforeAutospacing="1" w:afterAutospacing="1"/>
        <w:jc w:val="both"/>
        <w:outlineLvl w:val="2"/>
        <w:rPr>
          <w:rFonts w:ascii="Cambria" w:hAnsi="Cambria" w:eastAsia="Times New Roman" w:cs="Times New Roman" w:asciiTheme="majorHAnsi" w:hAnsiTheme="majorHAnsi"/>
          <w:b/>
          <w:b/>
          <w:bCs/>
          <w:sz w:val="24"/>
          <w:szCs w:val="24"/>
          <w:lang w:eastAsia="el-GR"/>
        </w:rPr>
      </w:pPr>
      <w:r>
        <w:rPr>
          <w:rFonts w:eastAsia="Times New Roman" w:cs="Times New Roman" w:ascii="Cambria" w:hAnsi="Cambria" w:asciiTheme="majorHAnsi" w:hAnsiTheme="majorHAnsi"/>
          <w:b/>
          <w:bCs/>
          <w:sz w:val="24"/>
          <w:szCs w:val="24"/>
          <w:lang w:eastAsia="el-GR"/>
        </w:rPr>
        <w:t>2. ΣΥΜΠΤΏΣΕΙΣ</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εστίαση του Πανεπιστημίου Πατρών στο Αρχαίο Ελληνικό Θέατρο ευθυγραμμίζεται με διάφορα υπάρχοντα εκπαιδευτικά και ερευνητικά προγράμματα μεταξύ των πανεπιστημίων EUNICoast. Για να ξεκινήσει ο διάλογος, η Πάτρα μπορεί να οργανώσει μια εικονική συζήτηση στρογγυλής τραπέζης με εκπροσώπους της κοινοπραξίας για να διερευνήσει συγκεκριμένες ευκαιρίες συνεργασίας. Αυτό θα μπορούσε να περιλαμβάνει κοινά εργαστήρια, κοινά ερευνητικά έργα και ολοκληρωμένα προγράμματα σπουδών επικεντρωμένα σε διεπιστημονικές προσεγγίσεις της πολιτιστικής κληρονομιάς και της βιωσιμότητας.</w:t>
      </w:r>
    </w:p>
    <w:p>
      <w:pPr>
        <w:pStyle w:val="Normal"/>
        <w:numPr>
          <w:ilvl w:val="0"/>
          <w:numId w:val="1"/>
        </w:numPr>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Πολιτιστική Κληρονομιά και Ναυτιλιακές Σπουδές</w:t>
      </w:r>
      <w:r>
        <w:rPr>
          <w:rFonts w:eastAsia="Times New Roman" w:cs="Times New Roman" w:ascii="Cambria" w:hAnsi="Cambria" w:asciiTheme="majorHAnsi" w:hAnsiTheme="majorHAnsi"/>
          <w:sz w:val="24"/>
          <w:szCs w:val="24"/>
          <w:lang w:eastAsia="el-GR"/>
        </w:rPr>
        <w:t>:</w:t>
      </w:r>
    </w:p>
    <w:p>
      <w:pPr>
        <w:pStyle w:val="Normal"/>
        <w:spacing w:lineRule="auto" w:line="240" w:beforeAutospacing="1" w:afterAutospacing="1"/>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έμφαση στο Αρχαίο Ελληνικό Θέατρο ως πολιτιστικό και εκπαιδευτικό εργαλείο ευθυγραμμίζεται με τα δυνατά σημεία πολλών εταίρων της EUNICoast:</w:t>
      </w:r>
    </w:p>
    <w:p>
      <w:pPr>
        <w:pStyle w:val="Normal"/>
        <w:numPr>
          <w:ilvl w:val="0"/>
          <w:numId w:val="6"/>
        </w:numPr>
        <w:spacing w:lineRule="auto" w:line="240" w:beforeAutospacing="1"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Πανεπιστήμιο των Αζορών και Πανεπιστήμιο του Ντουμπρόβνικ: Αυτά</w:t>
      </w:r>
      <w:r>
        <w:rPr>
          <w:rFonts w:eastAsia="Times New Roman" w:cs="Times New Roman" w:ascii="Cambria" w:hAnsi="Cambria" w:asciiTheme="majorHAnsi" w:hAnsiTheme="majorHAnsi"/>
          <w:sz w:val="24"/>
          <w:szCs w:val="24"/>
          <w:lang w:eastAsia="el-GR"/>
        </w:rPr>
        <w:t xml:space="preserve"> τα ιδρύματα επικεντρώνονται στη διατήρηση των παράκτιων και μεσογειακών πολιτιστικών ταυτοτήτων, δημιουργώντας συνέργεια με την εξερεύνηση της κοινής κληρονομιάς του Αρχαίου Ελληνικού Θεάτρου.</w:t>
      </w:r>
    </w:p>
    <w:p>
      <w:pPr>
        <w:pStyle w:val="Normal"/>
        <w:numPr>
          <w:ilvl w:val="0"/>
          <w:numId w:val="6"/>
        </w:numPr>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Université Le Havre Normandie (ULHN):</w:t>
      </w:r>
      <w:r>
        <w:rPr>
          <w:rFonts w:eastAsia="Times New Roman" w:cs="Times New Roman" w:ascii="Times New Roman" w:hAnsi="Times New Roman"/>
          <w:sz w:val="24"/>
          <w:szCs w:val="24"/>
          <w:lang w:eastAsia="el-GR"/>
        </w:rPr>
        <w:t xml:space="preserve"> Με την ενσωμάτωση της ναυτιλιακής και λιμενικής έρευνας με ευρύτερες πολιτιστικές σπουδές, το ULHN ανοίγει δρόμους για να εξετάσει τις συνδέσεις μεταξύ των αρχαίων ναυτικών κοινωνιών και των σύγχρονων παράκτιων ταυτοτήτων. Οι συνεργασίες με το CNRS και το INERIS ενισχύουν περαιτέρω το δυναμικό του διεπιστημονικού έργου.</w:t>
      </w:r>
    </w:p>
    <w:p>
      <w:pPr>
        <w:pStyle w:val="Normal"/>
        <w:numPr>
          <w:ilvl w:val="0"/>
          <w:numId w:val="6"/>
        </w:numPr>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Πανεπιστήμιο των Βαλεαρίδων Νήσων (UIB):</w:t>
      </w:r>
      <w:r>
        <w:rPr>
          <w:rFonts w:eastAsia="Times New Roman" w:cs="Times New Roman" w:ascii="Times New Roman" w:hAnsi="Times New Roman"/>
          <w:sz w:val="24"/>
          <w:szCs w:val="24"/>
          <w:lang w:eastAsia="el-GR"/>
        </w:rPr>
        <w:t xml:space="preserve"> Με εξειδίκευση στις Καλές Τέχνες και την πολιτιστική κληρονομιά, το UIB γεφυρώνει παραδοσιακές και σύγχρονες μορφές τέχνης, συμβάλλοντας σε καινοτόμες θεατρικές σπουδές και στην ενσωμάτωση τεχνολογικών στοιχείων στις παραστάσεις.</w:t>
      </w:r>
    </w:p>
    <w:p>
      <w:pPr>
        <w:pStyle w:val="Normal"/>
        <w:numPr>
          <w:ilvl w:val="0"/>
          <w:numId w:val="6"/>
        </w:numPr>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University Svoboden Universitet BFU (Ελεύθερο Πανεπιστήμιο του Μπουργκάς):</w:t>
      </w:r>
      <w:r>
        <w:rPr>
          <w:rFonts w:eastAsia="Times New Roman" w:cs="Times New Roman" w:ascii="Times New Roman" w:hAnsi="Times New Roman"/>
          <w:sz w:val="24"/>
          <w:szCs w:val="24"/>
          <w:lang w:eastAsia="el-GR"/>
        </w:rPr>
        <w:t xml:space="preserve"> Τα προγράμματα της BFU στις Επιχειρήσεις, τις Ανθρωπιστικές Επιστήμες και τη Μηχανική προσφέρουν πολύτιμες γνώσεις για την ενσωμάτωση ψηφιακών τεχνολογιών και επιχειρηματικών πρακτικών στη θεατρική παραγωγή και την πολιτιστική διαχείριση.</w:t>
      </w:r>
    </w:p>
    <w:p>
      <w:pPr>
        <w:pStyle w:val="Normal"/>
        <w:numPr>
          <w:ilvl w:val="0"/>
          <w:numId w:val="6"/>
        </w:numPr>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Stralsund University of Applied Sciences (HOST): Τα</w:t>
      </w:r>
      <w:r>
        <w:rPr>
          <w:rFonts w:eastAsia="Times New Roman" w:cs="Times New Roman" w:ascii="Times New Roman" w:hAnsi="Times New Roman"/>
          <w:sz w:val="24"/>
          <w:szCs w:val="24"/>
          <w:lang w:eastAsia="el-GR"/>
        </w:rPr>
        <w:t xml:space="preserve"> πρακτικά προγράμματα της HOST στη μηχανολογία και την επιστήμη των υπολογιστών εμπλουτίζουν τις τεχνολογικές διαστάσεις του θεάτρου, συμπεριλαμβανομένου του σκηνικού σχεδιασμού, του φωτισμού και των διαδραστικών τεχνολογιών απόδοσης.</w:t>
      </w:r>
    </w:p>
    <w:p>
      <w:pPr>
        <w:pStyle w:val="Normal"/>
        <w:numPr>
          <w:ilvl w:val="0"/>
          <w:numId w:val="6"/>
        </w:numPr>
        <w:spacing w:lineRule="auto" w:line="240" w:before="0" w:afterAutospacing="1"/>
        <w:jc w:val="both"/>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West Pomeranian University of Technology in Szczecin (ZUT): Γνωστό</w:t>
      </w:r>
      <w:r>
        <w:rPr>
          <w:rFonts w:eastAsia="Times New Roman" w:cs="Times New Roman" w:ascii="Times New Roman" w:hAnsi="Times New Roman"/>
          <w:sz w:val="24"/>
          <w:szCs w:val="24"/>
          <w:lang w:eastAsia="el-GR"/>
        </w:rPr>
        <w:t xml:space="preserve"> για την ψηφιακή εκπαίδευση και τεχνολογία, το ZUT παρέχει τεχνογνωσία στη δημιουργία εικονικών πλατφορμών για θεατρική εκπαίδευση και παραστάσεις, προωθώντας καινοτόμες προσεγγίσεις στο σύγχρονο θέατρο.</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Αυτή η κοινή δέσμευση για την πολιτιστική διατήρηση και την τεχνολογική πρόοδο επιτρέπει συνεργατικές πρωτοβουλίες που συνδυάζουν τις δραματικές τέχνες με ευρύτερες μελέτες κληρονομιάς και βιωσιμότητας.</w:t>
      </w:r>
    </w:p>
    <w:p>
      <w:pPr>
        <w:pStyle w:val="Normal"/>
        <w:spacing w:lineRule="auto" w:line="240" w:beforeAutospacing="1" w:afterAutospacing="1"/>
        <w:ind w:left="1440" w:hanging="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sz w:val="24"/>
          <w:szCs w:val="24"/>
          <w:lang w:eastAsia="el-GR"/>
        </w:rPr>
      </w:r>
    </w:p>
    <w:p>
      <w:pPr>
        <w:pStyle w:val="Normal"/>
        <w:numPr>
          <w:ilvl w:val="0"/>
          <w:numId w:val="1"/>
        </w:numPr>
        <w:spacing w:lineRule="auto" w:line="240" w:beforeAutospacing="1"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Διεπιστημονική Εκπαίδευση</w:t>
      </w:r>
      <w:r>
        <w:rPr>
          <w:rFonts w:eastAsia="Times New Roman" w:cs="Times New Roman" w:ascii="Cambria" w:hAnsi="Cambria" w:asciiTheme="majorHAnsi" w:hAnsiTheme="majorHAnsi"/>
          <w:sz w:val="24"/>
          <w:szCs w:val="24"/>
          <w:lang w:eastAsia="el-GR"/>
        </w:rPr>
        <w:t>:</w:t>
      </w:r>
    </w:p>
    <w:p>
      <w:pPr>
        <w:pStyle w:val="Normal"/>
        <w:numPr>
          <w:ilvl w:val="1"/>
          <w:numId w:val="1"/>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διεπιστημονική προσέγγιση του Πανεπιστημίου Πατρών - συνδυάζοντας σπουδές ιστορίας, ψυχολογίας, αισθητικής και επικοινωνίας - ευθυγραμμίζεται με παρόμοιες διεπιστημονικές μεθοδολογίες που χρησιμοποιούνται από άλλα ιδρύματα, όπως η ενσωμάτωση τεχνικών και κοινωνικών διαστάσεων του Stralsund στον βιώσιμο τουρισμό.</w:t>
      </w:r>
    </w:p>
    <w:p>
      <w:pPr>
        <w:pStyle w:val="Normal"/>
        <w:numPr>
          <w:ilvl w:val="1"/>
          <w:numId w:val="1"/>
        </w:numPr>
        <w:spacing w:lineRule="auto" w:line="240" w:before="0"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Οι Διδακτικές και Ερευνητικές Μονάδες του ULHN στις Επιστήμες και την Τεχνολογία, τις Τέχνες και τις Ανθρωπιστικές Επιστήμες και τις Διεθνείς Υποθέσεις ευθυγραμμίζονται περαιτέρω με τους εκπαιδευτικούς στόχους της Πάτρας, επιτρέποντας κοινά διεπιστημονικά προγράμματα σπουδών.</w:t>
      </w:r>
    </w:p>
    <w:p>
      <w:pPr>
        <w:pStyle w:val="Normal"/>
        <w:spacing w:lineRule="auto" w:line="240" w:beforeAutospacing="1" w:afterAutospacing="1"/>
        <w:ind w:left="1440" w:hanging="0"/>
        <w:jc w:val="both"/>
        <w:rPr>
          <w:rFonts w:ascii="Cambria" w:hAnsi="Cambria" w:eastAsia="Times New Roman" w:cs="Times New Roman" w:asciiTheme="majorHAnsi" w:hAnsiTheme="majorHAnsi"/>
          <w:sz w:val="24"/>
          <w:szCs w:val="24"/>
          <w:highlight w:val="yellow"/>
          <w:lang w:eastAsia="el-GR"/>
        </w:rPr>
      </w:pPr>
      <w:r>
        <w:rPr>
          <w:rFonts w:eastAsia="Times New Roman" w:cs="Times New Roman" w:ascii="Cambria" w:hAnsi="Cambria"/>
          <w:sz w:val="24"/>
          <w:szCs w:val="24"/>
          <w:highlight w:val="yellow"/>
          <w:lang w:eastAsia="el-GR"/>
        </w:rPr>
      </w:r>
    </w:p>
    <w:p>
      <w:pPr>
        <w:pStyle w:val="Normal"/>
        <w:numPr>
          <w:ilvl w:val="0"/>
          <w:numId w:val="1"/>
        </w:numPr>
        <w:spacing w:lineRule="auto" w:line="240" w:beforeAutospacing="1"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Θεατρική Πράξη και Δια Βίου Μάθηση</w:t>
      </w:r>
      <w:r>
        <w:rPr>
          <w:rFonts w:eastAsia="Times New Roman" w:cs="Times New Roman" w:ascii="Cambria" w:hAnsi="Cambria" w:asciiTheme="majorHAnsi" w:hAnsiTheme="majorHAnsi"/>
          <w:sz w:val="24"/>
          <w:szCs w:val="24"/>
          <w:lang w:eastAsia="el-GR"/>
        </w:rPr>
        <w:t>:</w:t>
      </w:r>
    </w:p>
    <w:p>
      <w:pPr>
        <w:pStyle w:val="Normal"/>
        <w:numPr>
          <w:ilvl w:val="1"/>
          <w:numId w:val="1"/>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έννοια της δια βίου μάθησης μέσω του θεάτρου συμπληρώνει υπάρχουσες πρωτοβουλίες που δίνουν έμφαση στη συμμετοχικότητα, την ισότητα των φύλων και τη διαφορετικότητα. Για παράδειγμα, οι συνεργατικές πλατφόρμες πολιτιστικών ανταλλαγών στο Πανεπιστήμιο των Αζορών και στο Πανεπιστήμιο του Ντουμπρόβνικ μπορούν να ενσωματώσουν αρχαίες δραματικές παραστάσεις και εργαστήρια, εστιάζοντας ενδεχομένως σε κοινές πολιτιστικές αφηγήσεις και σύγχρονα παγκόσμια θέματα όπως η μετανάστευση και η ανθεκτικότητα, για να εμβαθύνουν τη δέσμευση και την εμπειρία και να ενσωματώσουν τα σημερινά παγκόσμια ζητήματα.</w:t>
      </w:r>
    </w:p>
    <w:p>
      <w:pPr>
        <w:pStyle w:val="Normal"/>
        <w:numPr>
          <w:ilvl w:val="1"/>
          <w:numId w:val="1"/>
        </w:numPr>
        <w:spacing w:lineRule="auto" w:line="240" w:before="0"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τεχνογνωσία του ULHN στην εφοδιαστική και την τεχνολογία μπορεί να υποστηρίξει την καινοτόμο διάδοση της θεατρικής εκπαίδευσης και των παραστάσεων.</w:t>
      </w:r>
    </w:p>
    <w:p>
      <w:pPr>
        <w:pStyle w:val="Normal"/>
        <w:spacing w:lineRule="auto" w:line="240" w:beforeAutospacing="1" w:afterAutospacing="1"/>
        <w:ind w:left="1440" w:hanging="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sz w:val="24"/>
          <w:szCs w:val="24"/>
          <w:lang w:eastAsia="el-GR"/>
        </w:rPr>
      </w:r>
    </w:p>
    <w:p>
      <w:pPr>
        <w:pStyle w:val="Normal"/>
        <w:spacing w:lineRule="auto" w:line="240" w:beforeAutospacing="1" w:afterAutospacing="1"/>
        <w:ind w:left="1440" w:hanging="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sz w:val="24"/>
          <w:szCs w:val="24"/>
          <w:lang w:eastAsia="el-GR"/>
        </w:rPr>
      </w:r>
    </w:p>
    <w:p>
      <w:pPr>
        <w:pStyle w:val="Normal"/>
        <w:numPr>
          <w:ilvl w:val="0"/>
          <w:numId w:val="1"/>
        </w:numPr>
        <w:spacing w:lineRule="auto" w:line="240" w:beforeAutospacing="1"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Συμμετοχή στην κοινότητα</w:t>
      </w:r>
      <w:r>
        <w:rPr>
          <w:rFonts w:eastAsia="Times New Roman" w:cs="Times New Roman" w:ascii="Cambria" w:hAnsi="Cambria" w:asciiTheme="majorHAnsi" w:hAnsiTheme="majorHAnsi"/>
          <w:sz w:val="24"/>
          <w:szCs w:val="24"/>
          <w:lang w:eastAsia="el-GR"/>
        </w:rPr>
        <w:t>:</w:t>
      </w:r>
    </w:p>
    <w:p>
      <w:pPr>
        <w:pStyle w:val="Normal"/>
        <w:numPr>
          <w:ilvl w:val="1"/>
          <w:numId w:val="1"/>
        </w:numPr>
        <w:spacing w:lineRule="auto" w:line="240" w:before="0"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δυνατότητα του θεάτρου να εμπλέξει τις τοπικές κοινότητες υποστηρίζει τα συνεχιζόμενα προγράμματα κοινωνικής ανθεκτικότητας και πολιτιστικών ανταλλαγών στα πανεπιστήμια EUNICoast. Αυτό μπορεί να ενισχύσει τα δίκτυα και να προωθήσει κοινές πρακτικές για τη διατήρηση της πολιτιστικής ταυτότητας. Συνεργατικά θεατρικά εργαστήρια και παραστάσεις μπορούν να ενσωματωθούν σε τοπικές πρωτοβουλίες δέσμευσης στο Πανεπιστήμιο του Szczecin και στο Ντουμπρόβνικ, με έμφαση στην ανάπτυξη παραστάσεων που εμπλέκουν τις κοινότητες στην αντιμετώπιση σύγχρονων προκλήσεων όπως η μετανάστευση, η ανθεκτικότητα και η κλιματική αλλαγή.</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sz w:val="24"/>
          <w:szCs w:val="24"/>
          <w:lang w:eastAsia="el-GR"/>
        </w:rPr>
      </w:r>
    </w:p>
    <w:p>
      <w:pPr>
        <w:pStyle w:val="Normal"/>
        <w:numPr>
          <w:ilvl w:val="0"/>
          <w:numId w:val="0"/>
        </w:numPr>
        <w:spacing w:lineRule="auto" w:line="240" w:beforeAutospacing="1" w:afterAutospacing="1"/>
        <w:jc w:val="both"/>
        <w:outlineLvl w:val="2"/>
        <w:rPr>
          <w:rFonts w:ascii="Cambria" w:hAnsi="Cambria" w:eastAsia="Times New Roman" w:cs="Times New Roman" w:asciiTheme="majorHAnsi" w:hAnsiTheme="majorHAnsi"/>
          <w:b/>
          <w:b/>
          <w:bCs/>
          <w:sz w:val="24"/>
          <w:szCs w:val="24"/>
          <w:lang w:eastAsia="el-GR"/>
        </w:rPr>
      </w:pPr>
      <w:r>
        <w:rPr>
          <w:rFonts w:eastAsia="Times New Roman" w:cs="Times New Roman" w:ascii="Cambria" w:hAnsi="Cambria" w:asciiTheme="majorHAnsi" w:hAnsiTheme="majorHAnsi"/>
          <w:b/>
          <w:bCs/>
          <w:sz w:val="24"/>
          <w:szCs w:val="24"/>
          <w:lang w:eastAsia="el-GR"/>
        </w:rPr>
        <w:t>3. ΣΥΜΠΛΗΡΩΜΑΤΙΚΟΤΗΤΑ</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Το Πανεπιστήμιο Πατρών συνεισφέρει μοναδικά πλεονεκτήματα που συμπληρώνουν τις πρωτοβουλίες άλλων πανεπιστημίων της EUNICoast:</w:t>
      </w:r>
    </w:p>
    <w:p>
      <w:pPr>
        <w:pStyle w:val="Normal"/>
        <w:numPr>
          <w:ilvl w:val="0"/>
          <w:numId w:val="2"/>
        </w:numPr>
        <w:spacing w:lineRule="auto" w:line="240" w:beforeAutospacing="1"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Πολιτιστική κληρονομιά</w:t>
      </w:r>
      <w:r>
        <w:rPr>
          <w:rFonts w:eastAsia="Times New Roman" w:cs="Times New Roman" w:ascii="Cambria" w:hAnsi="Cambria" w:asciiTheme="majorHAnsi" w:hAnsiTheme="majorHAnsi"/>
          <w:sz w:val="24"/>
          <w:szCs w:val="24"/>
          <w:lang w:eastAsia="el-GR"/>
        </w:rPr>
        <w:t>:</w:t>
      </w:r>
    </w:p>
    <w:p>
      <w:pPr>
        <w:pStyle w:val="Normal"/>
        <w:numPr>
          <w:ilvl w:val="1"/>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εστίαση του Αρχαίου Ελληνικού Θεάτρου στη συλλογική ταυτότητα και τις αρχετυπικές συμπεριφορές συμπληρώνει το έργο του Πανεπιστημίου του Σάσαρη για τη σύγκριση προσεγγίσεων για τη διατήρηση της πολιτιστικής κληρονομιάς στις παράκτιες περιοχές. Ειδικά συνεργατικά έργα θα μπορούσαν να περιλαμβάνουν κοινές παραστάσεις που απεικονίζουν κοινές πολιτιστικές αφηγήσεις, εργαστήρια σχετικά με τη χρήση του θεάτρου στη διατήρηση της πολιτιστικής κληρονομιάς και συγκριτικές μελέτες δραματικών παραδόσεων σε διάφορες παράκτιες περιοχές για την ανάδειξη παγκόσμιων και τοπικών θεμάτων στην πολιτιστική ταυτότητα. Η κοινή έρευνα και οι περφόρμανς μπορούν να φωτίσουν κοινές ιστορικές αφηγήσεις και ηθικά πλαίσια.</w:t>
      </w:r>
    </w:p>
    <w:p>
      <w:pPr>
        <w:pStyle w:val="Normal"/>
        <w:numPr>
          <w:ilvl w:val="1"/>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έρευνα της ναυτικής και πολιτιστικής ταυτότητας του ULHN προσφέρει πρόσθετες διαστάσεις σε αυτές τις συνεργασίες, ειδικά μέσω της διεπιστημονικής εστίασης και των ιστορικών συνδέσεων με την ανάπτυξη με επίκεντρο το λιμάνι.</w:t>
      </w:r>
    </w:p>
    <w:p>
      <w:pPr>
        <w:pStyle w:val="Normal"/>
        <w:numPr>
          <w:ilvl w:val="0"/>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Διεπιστημονική Έρευνα</w:t>
      </w:r>
      <w:r>
        <w:rPr>
          <w:rFonts w:eastAsia="Times New Roman" w:cs="Times New Roman" w:ascii="Cambria" w:hAnsi="Cambria" w:asciiTheme="majorHAnsi" w:hAnsiTheme="majorHAnsi"/>
          <w:sz w:val="24"/>
          <w:szCs w:val="24"/>
          <w:lang w:eastAsia="el-GR"/>
        </w:rPr>
        <w:t>:</w:t>
      </w:r>
    </w:p>
    <w:p>
      <w:pPr>
        <w:pStyle w:val="Normal"/>
        <w:numPr>
          <w:ilvl w:val="1"/>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ενσωμάτωση σωματικών, γλωσσικών και οπτικών στοιχείων από την Πάτρα ευθυγραμμίζεται με τις διεπιστημονικές προσεγγίσεις του Στράλσουντ, παρέχοντας μια πλατφόρμα για τη συγχώνευση της θεατρικής έκφρασης με την ψηφιακή αφήγηση και τις εμπειρίες τουρισμού πολυμέσων.</w:t>
      </w:r>
    </w:p>
    <w:p>
      <w:pPr>
        <w:pStyle w:val="Normal"/>
        <w:numPr>
          <w:ilvl w:val="1"/>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Τα ερευνητικά εργαστήρια του ULHN, συμπεριλαμβανομένων των συνεργασιών με το CNRS και το INERIS, μπορούν να διευκολύνουν μελέτες αιχμής που συνδέουν το θέατρο, την εφοδιαστική και τις βιώσιμες πολιτιστικές πρακτικές.</w:t>
      </w:r>
    </w:p>
    <w:p>
      <w:pPr>
        <w:pStyle w:val="Normal"/>
        <w:numPr>
          <w:ilvl w:val="0"/>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Συμμετοχικότητα και ποικιλομορφία</w:t>
      </w:r>
      <w:r>
        <w:rPr>
          <w:rFonts w:eastAsia="Times New Roman" w:cs="Times New Roman" w:ascii="Cambria" w:hAnsi="Cambria" w:asciiTheme="majorHAnsi" w:hAnsiTheme="majorHAnsi"/>
          <w:sz w:val="24"/>
          <w:szCs w:val="24"/>
          <w:lang w:eastAsia="el-GR"/>
        </w:rPr>
        <w:t>:</w:t>
      </w:r>
    </w:p>
    <w:p>
      <w:pPr>
        <w:pStyle w:val="Normal"/>
        <w:numPr>
          <w:ilvl w:val="1"/>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προτεινόμενη διδασκαλία και έρευνα στο θέατρο ευθυγραμμίζεται με την εστίαση του Πανεπιστημίου του Szczecin στην αστική ανθεκτικότητα και τις πρωτοβουλίες με επίκεντρο την κοινότητα. Τα συνεργατικά έργα θα μπορούσαν να διερευνήσουν πώς το Αρχαίο Ελληνικό Θέατρο μπορεί να χρησιμεύσει ως μέσο για την αντιμετώπιση σύγχρονων κοινωνικών ζητημάτων, όπως η μετανάστευση και η πολιτιστική ένταξη.</w:t>
      </w:r>
    </w:p>
    <w:p>
      <w:pPr>
        <w:pStyle w:val="Normal"/>
        <w:numPr>
          <w:ilvl w:val="1"/>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εστίαση του ULHN στις διεθνείς υποθέσεις και την παγκόσμια συνεργασία συμπληρώνει αυτές τις προσπάθειες, διευρύνοντας το πεδίο της ένταξης.</w:t>
      </w:r>
    </w:p>
    <w:p>
      <w:pPr>
        <w:pStyle w:val="Normal"/>
        <w:numPr>
          <w:ilvl w:val="0"/>
          <w:numId w:val="2"/>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Εκπαίδευση και ψηφιακή καινοτομία</w:t>
      </w:r>
      <w:r>
        <w:rPr>
          <w:rFonts w:eastAsia="Times New Roman" w:cs="Times New Roman" w:ascii="Cambria" w:hAnsi="Cambria" w:asciiTheme="majorHAnsi" w:hAnsiTheme="majorHAnsi"/>
          <w:sz w:val="24"/>
          <w:szCs w:val="24"/>
          <w:lang w:eastAsia="el-GR"/>
        </w:rPr>
        <w:t>:</w:t>
      </w:r>
    </w:p>
    <w:p>
      <w:pPr>
        <w:pStyle w:val="Normal"/>
        <w:numPr>
          <w:ilvl w:val="1"/>
          <w:numId w:val="2"/>
        </w:numPr>
        <w:spacing w:lineRule="auto" w:line="240" w:before="0"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Οι ψηφιακές πλατφόρμες σε ιδρύματα όπως το Στράλσουντ και το Ντουμπρόβνικ μπορούν να ενσωματώσουν εικονικές παραστάσεις και εκπαιδευτικό περιεχόμενο για το Αρχαίο Ελληνικό Θέατρο, δημιουργώντας έναν κοινό πόρο για φοιτητές σε όλα τα πανεπιστήμια EUNICoast.</w:t>
      </w:r>
    </w:p>
    <w:p>
      <w:pPr>
        <w:pStyle w:val="Normal"/>
        <w:spacing w:lineRule="auto" w:line="240" w:beforeAutospacing="1" w:afterAutospacing="1"/>
        <w:ind w:left="1440" w:hanging="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sz w:val="24"/>
          <w:szCs w:val="24"/>
          <w:lang w:eastAsia="el-GR"/>
        </w:rPr>
      </w:r>
    </w:p>
    <w:p>
      <w:pPr>
        <w:pStyle w:val="Normal"/>
        <w:numPr>
          <w:ilvl w:val="0"/>
          <w:numId w:val="0"/>
        </w:numPr>
        <w:spacing w:lineRule="auto" w:line="240" w:beforeAutospacing="1" w:afterAutospacing="1"/>
        <w:jc w:val="both"/>
        <w:outlineLvl w:val="2"/>
        <w:rPr>
          <w:rFonts w:ascii="Cambria" w:hAnsi="Cambria" w:eastAsia="Times New Roman" w:cs="Times New Roman" w:asciiTheme="majorHAnsi" w:hAnsiTheme="majorHAnsi"/>
          <w:b/>
          <w:b/>
          <w:bCs/>
          <w:sz w:val="24"/>
          <w:szCs w:val="24"/>
          <w:lang w:eastAsia="el-GR"/>
        </w:rPr>
      </w:pPr>
      <w:r>
        <w:rPr>
          <w:rFonts w:eastAsia="Times New Roman" w:cs="Times New Roman" w:ascii="Cambria" w:hAnsi="Cambria" w:asciiTheme="majorHAnsi" w:hAnsiTheme="majorHAnsi"/>
          <w:b/>
          <w:bCs/>
          <w:sz w:val="24"/>
          <w:szCs w:val="24"/>
          <w:lang w:eastAsia="el-GR"/>
        </w:rPr>
        <w:t>4. ΤΟΜΕΙΣ ΒΕΛΤΙΩΣΗΣ</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ένταξη του Αρχαίου Ελληνικού Θεάτρου στην ευρύτερη πρωτοβουλία EUNICoast αποκαλύπτει ευκαιρίες για την αντιμετώπιση κενών και την ενίσχυση της συνεργασίας:</w:t>
      </w:r>
    </w:p>
    <w:p>
      <w:pPr>
        <w:pStyle w:val="Normal"/>
        <w:numPr>
          <w:ilvl w:val="0"/>
          <w:numId w:val="3"/>
        </w:numPr>
        <w:spacing w:lineRule="auto" w:line="240" w:beforeAutospacing="1"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Κατακερματισμένα προγράμματα σπουδών</w:t>
      </w:r>
      <w:r>
        <w:rPr>
          <w:rFonts w:eastAsia="Times New Roman" w:cs="Times New Roman" w:ascii="Cambria" w:hAnsi="Cambria" w:asciiTheme="majorHAnsi" w:hAnsiTheme="majorHAnsi"/>
          <w:sz w:val="24"/>
          <w:szCs w:val="24"/>
          <w:lang w:eastAsia="el-GR"/>
        </w:rPr>
        <w:t>:</w:t>
      </w:r>
    </w:p>
    <w:p>
      <w:pPr>
        <w:pStyle w:val="Normal"/>
        <w:numPr>
          <w:ilvl w:val="1"/>
          <w:numId w:val="3"/>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Ενώ η εστίαση της Πάτρας στο θέατρο είναι ισχυρή, θα μπορούσε να συνδεθεί πιο ρητά με ψηφιακές και βιώσιμες πρακτικές που τονίζονται από άλλους θεσμούς. Παραδείγματα τέτοιων ενσωματώσεων περιλαμβάνουν τη χρήση εργαλείων εικονικής πραγματικότητας (VR) για την αναδημιουργία αρχαίων θεατρικών παραστάσεων, την ανάπτυξη διαδικτυακών πλατφορμών για συνεργατική συγγραφή σεναρίων και πρόβες και την αξιοποίηση ψηφιακών αρχείων για τη σύνδεση της ιστορικής έρευνας με σύγχρονες καλλιτεχνικές πρακτικές. Τα συνεργατικά μαθήματα που συνδυάζουν το θέατρο με τα ψηφιακά μέσα, τον βιώσιμο τουρισμό και τα θέματα ανανεώσιμων πηγών ενέργειας θα μπορούσαν να δημιουργήσουν συνέργειες.</w:t>
      </w:r>
    </w:p>
    <w:p>
      <w:pPr>
        <w:pStyle w:val="Normal"/>
        <w:numPr>
          <w:ilvl w:val="0"/>
          <w:numId w:val="3"/>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Περιορισμένη πρόσβαση σε εξειδικευμένα προγράμματα</w:t>
      </w:r>
      <w:r>
        <w:rPr>
          <w:rFonts w:eastAsia="Times New Roman" w:cs="Times New Roman" w:ascii="Cambria" w:hAnsi="Cambria" w:asciiTheme="majorHAnsi" w:hAnsiTheme="majorHAnsi"/>
          <w:sz w:val="24"/>
          <w:szCs w:val="24"/>
          <w:lang w:eastAsia="el-GR"/>
        </w:rPr>
        <w:t>:</w:t>
      </w:r>
    </w:p>
    <w:p>
      <w:pPr>
        <w:pStyle w:val="Normal"/>
        <w:numPr>
          <w:ilvl w:val="1"/>
          <w:numId w:val="3"/>
        </w:numPr>
        <w:spacing w:lineRule="auto" w:line="240" w:before="0"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προσφορά κοινών εικονικών εργαστηρίων και μαθημάτων στο Αρχαίο Ελληνικό Θέατρο θα καταστήσει το πρόγραμμα προσβάσιμο σε φοιτητές σε όλα τα πανεπιστήμια EUNICoast. Αυτά τα εργαστήρια θα μπορούσαν να υιοθετήσουν μια δημιουργική προσέγγιση σε πτυχές του θεατρικού μέσου όπως η υποκριτική, ο χορός, η κίνηση, ο λόγος και το τραγούδι, οι μάσκες και τα σκηνικά, καθώς και τα κοστούμια και η τεχνολογία. Θα μπορούσαν επίσης να περιλαμβάνουν ανάλυση τραγωδιών και κωμωδιών για μια βαθύτερη κατανόηση του ρόλου που παίζει κάθε στοιχείο που παίζει στη δημιουργία νοήματος (αντλώντας από την έννοια της τεχνολογίας του Αριστοτέλη) και στην αναπαράσταση συναισθημάτων, συναισθημάτων και στην επίτευξη πλούσιας κάθαρσης.</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Πιθανές πλατφόρμες για τη φιλοξενία αυτού του είδους θεωρητικών και πρακτικών γνώσεων περιλαμβάνουν το Moodle για ασύγχρονη μάθηση, το Microsoft Teams ή το Zoom για ζωντανές διαδραστικές συνεδρίες και εργαλεία συνεργασίας όπως το Miro ή το Padlet για καταιγισμό ιδεών και ανάπτυξη έργων. Οι υπάρχουσες υποδομές, όπως η τεχνογνωσία της ψηφιακής οικονομίας του Πανεπιστημίου του Ντουμπρόβνικ ή οι διεπιστημονικές πλατφόρμες του Στράλσουντ, θα μπορούσαν να αξιοποιηθούν για την ενίσχυση της εικονικής μαθησιακής εμπειρίας. Αυτά τα εργαστήρια μπορούν να δώσουν έμφαση στα μαθησιακά αποτελέσματα και οφέλη, όπως η προώθηση της ευαισθητοποίησης, της συμμετοχικότητας και της συλλογικότητας μεταξύ των συμμετεχόντων. Οι υπάρχουσες υποδομές, όπως η τεχνογνωσία της ψηφιακής οικονομίας του Πανεπιστημίου του Ντουμπρόβνικ ή οι διεπιστημονικές πλατφόρμες του Στράλσουντ, θα μπορούσαν να αξιοποιηθούν για την ενίσχυση της εικονικής μαθησιακής εμπειρίας. Αυτό θα μπορούσε να περιλαμβάνει ενότητες σχετικά με τις τεχνικές παραστάσεων, τη χρήση της τεχνολογίας στο θέατρο και τον ρόλο της στην πολιτιστική ανθεκτικότητα.</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sz w:val="24"/>
          <w:szCs w:val="24"/>
          <w:lang w:eastAsia="el-GR"/>
        </w:rPr>
      </w:r>
    </w:p>
    <w:p>
      <w:pPr>
        <w:pStyle w:val="Normal"/>
        <w:numPr>
          <w:ilvl w:val="0"/>
          <w:numId w:val="4"/>
        </w:numPr>
        <w:spacing w:lineRule="auto" w:line="240" w:beforeAutospacing="1"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Ερευνητικοί κόμβοι και κοινόχρηστοι πόροι</w:t>
      </w:r>
      <w:r>
        <w:rPr>
          <w:rFonts w:eastAsia="Times New Roman" w:cs="Times New Roman" w:ascii="Cambria" w:hAnsi="Cambria" w:asciiTheme="majorHAnsi" w:hAnsiTheme="majorHAnsi"/>
          <w:sz w:val="24"/>
          <w:szCs w:val="24"/>
          <w:lang w:eastAsia="el-GR"/>
        </w:rPr>
        <w:t>:</w:t>
      </w:r>
    </w:p>
    <w:p>
      <w:pPr>
        <w:pStyle w:val="Normal"/>
        <w:numPr>
          <w:ilvl w:val="1"/>
          <w:numId w:val="4"/>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δημιουργία διεπιστημονικών ερευνητικών κόμβων που περιλαμβάνουν θεατρικές σπουδές παράλληλα με τη θαλάσσια επιστήμη, την πολιτιστική διατήρηση και τη βιώσιμη μηχανική θα μπορούσε να προωθήσει βαθύτερες συνεργασίες. Η τεχνογνωσία της Πάτρας στο θέατρο μπορεί να αποτελέσει κομβικό σημείο για πολιτιστικές πτυχές σε αυτούς τους κόμβους.</w:t>
      </w:r>
    </w:p>
    <w:p>
      <w:pPr>
        <w:pStyle w:val="Normal"/>
        <w:numPr>
          <w:ilvl w:val="0"/>
          <w:numId w:val="4"/>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Κοινοτική Συνεργασία</w:t>
      </w:r>
      <w:r>
        <w:rPr>
          <w:rFonts w:eastAsia="Times New Roman" w:cs="Times New Roman" w:ascii="Cambria" w:hAnsi="Cambria" w:asciiTheme="majorHAnsi" w:hAnsiTheme="majorHAnsi"/>
          <w:sz w:val="24"/>
          <w:szCs w:val="24"/>
          <w:lang w:eastAsia="el-GR"/>
        </w:rPr>
        <w:t>:</w:t>
      </w:r>
    </w:p>
    <w:p>
      <w:pPr>
        <w:pStyle w:val="Normal"/>
        <w:numPr>
          <w:ilvl w:val="1"/>
          <w:numId w:val="4"/>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Θεατρικά εργαστήρια και παραστάσεις θα μπορούσαν να ενσωματωθούν σε προγράμματα συμμετοχής της κοινότητας, όπως αυτά που καθοδηγούνται από το Szczecin και το Ντουμπρόβνικ. Αυτά θα μπορούσαν να περιλαμβάνουν συμμετοχικά έργα όπου οι τοπικές κοινότητες συνδημιουργούν θεατρικές παραγωγές που αντιμετωπίζουν τοπικές και παγκόσμιες προκλήσεις.</w:t>
      </w:r>
    </w:p>
    <w:p>
      <w:pPr>
        <w:pStyle w:val="Normal"/>
        <w:numPr>
          <w:ilvl w:val="0"/>
          <w:numId w:val="4"/>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Ευρύτερη θεματική ολοκλήρωση</w:t>
      </w:r>
      <w:r>
        <w:rPr>
          <w:rFonts w:eastAsia="Times New Roman" w:cs="Times New Roman" w:ascii="Cambria" w:hAnsi="Cambria" w:asciiTheme="majorHAnsi" w:hAnsiTheme="majorHAnsi"/>
          <w:sz w:val="24"/>
          <w:szCs w:val="24"/>
          <w:lang w:eastAsia="el-GR"/>
        </w:rPr>
        <w:t>:</w:t>
      </w:r>
    </w:p>
    <w:p>
      <w:pPr>
        <w:pStyle w:val="Normal"/>
        <w:numPr>
          <w:ilvl w:val="1"/>
          <w:numId w:val="4"/>
        </w:numPr>
        <w:spacing w:lineRule="auto" w:line="240" w:before="0"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Η σύνδεση του Αρχαίου Ελληνικού Θεάτρου με παγκόσμια θέματα όπως η κλιματική αλλαγή, η μετανάστευση και η κοινωνική δικαιοσύνη μπορεί να ευθυγραμμιστεί με τους διεπιστημονικούς στόχους της κοινοπραξίας. Για παράδειγμα, οι θεατρικές αφηγήσεις θα μπορούσαν να διερευνήσουν αυτά τα ζητήματα για να προωθήσουν την ευαισθητοποίηση και τον διάλογο.</w:t>
      </w:r>
    </w:p>
    <w:p>
      <w:pPr>
        <w:pStyle w:val="Normal"/>
        <w:rPr>
          <w:rFonts w:ascii="Cambria" w:hAnsi="Cambria" w:asciiTheme="majorHAnsi" w:hAnsiTheme="majorHAnsi"/>
          <w:sz w:val="24"/>
          <w:szCs w:val="24"/>
        </w:rPr>
      </w:pPr>
      <w:r>
        <w:rPr>
          <w:rFonts w:asciiTheme="majorHAnsi" w:hAnsiTheme="majorHAnsi" w:ascii="Cambria" w:hAnsi="Cambria"/>
          <w:sz w:val="24"/>
          <w:szCs w:val="24"/>
        </w:rPr>
      </w:r>
    </w:p>
    <w:p>
      <w:pPr>
        <w:pStyle w:val="Normal"/>
        <w:numPr>
          <w:ilvl w:val="0"/>
          <w:numId w:val="0"/>
        </w:numPr>
        <w:spacing w:lineRule="auto" w:line="240" w:beforeAutospacing="1" w:afterAutospacing="1"/>
        <w:jc w:val="both"/>
        <w:outlineLvl w:val="2"/>
        <w:rPr>
          <w:rFonts w:ascii="Cambria" w:hAnsi="Cambria" w:eastAsia="Times New Roman" w:cs="Times New Roman" w:asciiTheme="majorHAnsi" w:hAnsiTheme="majorHAnsi"/>
          <w:b/>
          <w:b/>
          <w:bCs/>
          <w:sz w:val="24"/>
          <w:szCs w:val="24"/>
          <w:lang w:eastAsia="el-GR"/>
        </w:rPr>
      </w:pPr>
      <w:r>
        <w:rPr>
          <w:rFonts w:eastAsia="Times New Roman" w:cs="Times New Roman" w:ascii="Cambria" w:hAnsi="Cambria" w:asciiTheme="majorHAnsi" w:hAnsiTheme="majorHAnsi"/>
          <w:b/>
          <w:bCs/>
          <w:sz w:val="24"/>
          <w:szCs w:val="24"/>
          <w:lang w:eastAsia="el-GR"/>
        </w:rPr>
        <w:t>Προτεινόμενες συνεργατικές δράσεις</w:t>
      </w:r>
    </w:p>
    <w:p>
      <w:pPr>
        <w:pStyle w:val="Normal"/>
        <w:numPr>
          <w:ilvl w:val="0"/>
          <w:numId w:val="5"/>
        </w:numPr>
        <w:spacing w:lineRule="auto" w:line="240" w:beforeAutospacing="1"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Κοινά εργαστήρια και περφόρμανς</w:t>
      </w:r>
      <w:r>
        <w:rPr>
          <w:rFonts w:eastAsia="Times New Roman" w:cs="Times New Roman" w:ascii="Cambria" w:hAnsi="Cambria" w:asciiTheme="majorHAnsi" w:hAnsiTheme="majorHAnsi"/>
          <w:sz w:val="24"/>
          <w:szCs w:val="24"/>
          <w:lang w:eastAsia="el-GR"/>
        </w:rPr>
        <w:t>:</w:t>
      </w:r>
    </w:p>
    <w:p>
      <w:pPr>
        <w:pStyle w:val="Normal"/>
        <w:numPr>
          <w:ilvl w:val="1"/>
          <w:numId w:val="5"/>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Συνεργαστείτε με πανεπιστήμια όπως το Ντουμπρόβνικ και το Σάσαρι για να φιλοξενήσετε κοινές θεατρικές εκδηλώσεις που συνδυάζουν την πολιτιστική κληρονομιά και τα σύγχρονα θέματα. Ως πρώτο βήμα, δημιουργήστε μια επιτροπή σχεδιασμού με εκπροσώπους από κάθε πανεπιστήμιο για να περιγράψετε το πεδίο εφαρμογής και τη μορφή αυτών των εκδηλώσεων. Αναπτύξτε ένα χρονοδιάγραμμα που περιλαμβάνει αρχικές συνεδρίες καταιγισμού ιδεών εντός τριών μηνών, ακολουθούμενες από πιλοτικές εκδηλώσεις, όπως ψηφιακές παραστάσεις ή εργαστήρια εντός του πρώτου έτους. Αυτή η σταδιακή προσέγγιση εξασφαλίζει συγκεκριμένα αποτελέσματα, επιτρέποντας παράλληλα προσαρμογές με βάση τη συνεργατική συμβολή.</w:t>
      </w:r>
    </w:p>
    <w:p>
      <w:pPr>
        <w:pStyle w:val="Normal"/>
        <w:numPr>
          <w:ilvl w:val="0"/>
          <w:numId w:val="5"/>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Ψηφιακοί πόροι</w:t>
      </w:r>
      <w:r>
        <w:rPr>
          <w:rFonts w:eastAsia="Times New Roman" w:cs="Times New Roman" w:ascii="Cambria" w:hAnsi="Cambria" w:asciiTheme="majorHAnsi" w:hAnsiTheme="majorHAnsi"/>
          <w:sz w:val="24"/>
          <w:szCs w:val="24"/>
          <w:lang w:eastAsia="el-GR"/>
        </w:rPr>
        <w:t>:</w:t>
      </w:r>
    </w:p>
    <w:p>
      <w:pPr>
        <w:pStyle w:val="Normal"/>
        <w:numPr>
          <w:ilvl w:val="1"/>
          <w:numId w:val="5"/>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Συνεργασία με το Στράλσουντ και το Στετίνο για τη δημιουργία εικονικών πλατφορμών θεατρικής εκπαίδευσης, επιτρέποντας την υβριδική συμμετοχή σε όλα τα ιδρύματα.</w:t>
      </w:r>
    </w:p>
    <w:p>
      <w:pPr>
        <w:pStyle w:val="Normal"/>
        <w:numPr>
          <w:ilvl w:val="0"/>
          <w:numId w:val="5"/>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Ανάπτυξη Ολοκληρωμένου Προγράμματος Σπουδών</w:t>
      </w:r>
      <w:r>
        <w:rPr>
          <w:rFonts w:eastAsia="Times New Roman" w:cs="Times New Roman" w:ascii="Cambria" w:hAnsi="Cambria" w:asciiTheme="majorHAnsi" w:hAnsiTheme="majorHAnsi"/>
          <w:sz w:val="24"/>
          <w:szCs w:val="24"/>
          <w:lang w:eastAsia="el-GR"/>
        </w:rPr>
        <w:t>:</w:t>
      </w:r>
    </w:p>
    <w:p>
      <w:pPr>
        <w:pStyle w:val="Normal"/>
        <w:numPr>
          <w:ilvl w:val="1"/>
          <w:numId w:val="5"/>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Αναπτύξτε διεπιστημονικά προγράμματα που συγχωνεύουν το θέατρο με τη διαχείριση του τουρισμού, τη βιωσιμότητα και την ψηφιακή καινοτομία.</w:t>
      </w:r>
    </w:p>
    <w:p>
      <w:pPr>
        <w:pStyle w:val="Normal"/>
        <w:numPr>
          <w:ilvl w:val="0"/>
          <w:numId w:val="5"/>
        </w:numPr>
        <w:spacing w:lineRule="auto" w:line="240" w:before="0" w:after="0"/>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b/>
          <w:bCs/>
          <w:sz w:val="24"/>
          <w:szCs w:val="24"/>
          <w:lang w:eastAsia="el-GR"/>
        </w:rPr>
        <w:t>Κοινοτικές πρωτοβουλίες</w:t>
      </w:r>
      <w:r>
        <w:rPr>
          <w:rFonts w:eastAsia="Times New Roman" w:cs="Times New Roman" w:ascii="Cambria" w:hAnsi="Cambria" w:asciiTheme="majorHAnsi" w:hAnsiTheme="majorHAnsi"/>
          <w:sz w:val="24"/>
          <w:szCs w:val="24"/>
          <w:lang w:eastAsia="el-GR"/>
        </w:rPr>
        <w:t>:</w:t>
      </w:r>
    </w:p>
    <w:p>
      <w:pPr>
        <w:pStyle w:val="Normal"/>
        <w:numPr>
          <w:ilvl w:val="1"/>
          <w:numId w:val="5"/>
        </w:numPr>
        <w:spacing w:lineRule="auto" w:line="240" w:before="0"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Υλοποίηση θεατρικών εργαστηρίων που εμπλέκουν τις τοπικές κοινότητες στη διερεύνηση κοινών πολιτιστικών ταυτοτήτων και σύγχρονων προκλήσεων.</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eastAsia="el-GR"/>
        </w:rPr>
      </w:pPr>
      <w:r>
        <w:rPr>
          <w:rFonts w:eastAsia="Times New Roman" w:cs="Times New Roman" w:ascii="Cambria" w:hAnsi="Cambria" w:asciiTheme="majorHAnsi" w:hAnsiTheme="majorHAnsi"/>
          <w:sz w:val="24"/>
          <w:szCs w:val="24"/>
          <w:lang w:eastAsia="el-GR"/>
        </w:rPr>
        <w:t>Αξιοποιώντας την τεχνογνωσία του στο Αρχαίο Ελληνικό Θέατρο, το Πανεπιστήμιο Πατρών μπορεί να χρησιμεύσει ως πολιτιστικός ακρογωνιαίος λίθος στο πλαίσιο της κοινοπραξίας EUNICoast, ενισχύοντας τον αντίκτυπο των εκπαιδευτικών, ερευνητικών και κοινοτικών πρωτοβουλιών του. Το Πανεπιστήμιο Πατρών, μέσω της εστίασής του στο Αρχαίο Ελληνικό Θέατρο, συμβάλλει άμεσα στους στόχους της πρωτοβουλίας EUNICoast προωθώντας τη διεπιστημονική συνεργασία και προωθώντας κοινές ευρωπαϊκές αξίες. Συμμετέχοντας σε κοινές δραστηριότητες, όπως παραστάσεις και εργαστήρια, το πανεπιστήμιο παρέχει μια πλατφόρμα για πολιτιστικές και καλλιτεχνικές ανταλλαγές που αντηχεί με την κοινή δήλωση αποστολής για τη δημιουργία ανθεκτικών και χωρίς αποκλεισμούς κοινοτήτων. Η ανάπτυξη ψηφιακών εργαλείων για τη θεατρική εκπαίδευση ευθυγραμμίζεται με το Μνημόνιο Συνεργασίας, υποστηρίζοντας πλαίσια λειτουργίας που αξιοποιούν τις σύγχρονες τεχνολογίες για προσβασιμότητα και βιωσιμότητα. Επιπλέον, οι διμερείς συμφωνίες κινητικότητας διευκολύνουν την ανταλλαγή εμπειρογνωμοσύνης μεταξύ φοιτητών και ακαδημαϊκών, διασφαλίζοντας μια δυναμική ροή ιδεών και συνεργατικής καινοτομίας. Μέσα από αυτές τις προσπάθειες, το Πανεπιστήμιο Πατρών αποτελεί παράδειγμα της δέσμευσής του στις θεμελιώδεις αρχές της EUNICoast, ανοίγοντας το δρόμο για διαρκείς συνεργασίες και προοδευτικά εκπαιδευτικά πλαίσια.</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basedOn w:val="Normal"/>
    <w:next w:val="Normal"/>
    <w:link w:val="Heading1Char"/>
    <w:uiPriority w:val="9"/>
    <w:qFormat/>
    <w:rsid w:val="005b58e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3">
    <w:name w:val="Heading 3"/>
    <w:basedOn w:val="Normal"/>
    <w:link w:val="Heading3Char"/>
    <w:uiPriority w:val="9"/>
    <w:qFormat/>
    <w:rsid w:val="00b12d45"/>
    <w:pPr>
      <w:spacing w:lineRule="auto" w:line="240" w:beforeAutospacing="1" w:afterAutospacing="1"/>
      <w:outlineLvl w:val="2"/>
    </w:pPr>
    <w:rPr>
      <w:rFonts w:ascii="Times New Roman" w:hAnsi="Times New Roman" w:eastAsia="Times New Roman" w:cs="Times New Roman"/>
      <w:b/>
      <w:bCs/>
      <w:sz w:val="27"/>
      <w:szCs w:val="27"/>
      <w:lang w:eastAsia="el-GR"/>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b12d45"/>
    <w:rPr>
      <w:rFonts w:ascii="Times New Roman" w:hAnsi="Times New Roman" w:eastAsia="Times New Roman" w:cs="Times New Roman"/>
      <w:b/>
      <w:bCs/>
      <w:sz w:val="27"/>
      <w:szCs w:val="27"/>
      <w:lang w:eastAsia="el-GR"/>
    </w:rPr>
  </w:style>
  <w:style w:type="character" w:styleId="Strong">
    <w:name w:val="Strong"/>
    <w:basedOn w:val="DefaultParagraphFont"/>
    <w:uiPriority w:val="22"/>
    <w:qFormat/>
    <w:rsid w:val="00b12d45"/>
    <w:rPr>
      <w:b/>
      <w:bCs/>
    </w:rPr>
  </w:style>
  <w:style w:type="character" w:styleId="Hgkelc" w:customStyle="1">
    <w:name w:val="hgkelc"/>
    <w:basedOn w:val="DefaultParagraphFont"/>
    <w:qFormat/>
    <w:rsid w:val="00df096c"/>
    <w:rPr/>
  </w:style>
  <w:style w:type="character" w:styleId="InternetLink">
    <w:name w:val="Hyperlink"/>
    <w:basedOn w:val="DefaultParagraphFont"/>
    <w:uiPriority w:val="99"/>
    <w:unhideWhenUsed/>
    <w:rsid w:val="0062416c"/>
    <w:rPr>
      <w:color w:val="0000FF" w:themeColor="hyperlink"/>
      <w:u w:val="single"/>
    </w:rPr>
  </w:style>
  <w:style w:type="character" w:styleId="UnresolvedMention1" w:customStyle="1">
    <w:name w:val="Unresolved Mention1"/>
    <w:basedOn w:val="DefaultParagraphFont"/>
    <w:uiPriority w:val="99"/>
    <w:semiHidden/>
    <w:unhideWhenUsed/>
    <w:qFormat/>
    <w:rsid w:val="00af3405"/>
    <w:rPr>
      <w:color w:val="605E5C"/>
      <w:shd w:fill="E1DFDD" w:val="clear"/>
    </w:rPr>
  </w:style>
  <w:style w:type="character" w:styleId="Heading1Char" w:customStyle="1">
    <w:name w:val="Heading 1 Char"/>
    <w:basedOn w:val="DefaultParagraphFont"/>
    <w:link w:val="Heading1"/>
    <w:uiPriority w:val="9"/>
    <w:qFormat/>
    <w:rsid w:val="005b58ed"/>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12d45"/>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b12d45"/>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heaterst.upatras.gr/" TargetMode="External"/><Relationship Id="rId3" Type="http://schemas.openxmlformats.org/officeDocument/2006/relationships/hyperlink" Target="https://ich.unesco.org/en/conventio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LibreOffice/7.3.7.2$Linux_X86_64 LibreOffice_project/30$Build-2</Application>
  <AppVersion>15.0000</AppVersion>
  <Pages>11</Pages>
  <Words>2810</Words>
  <Characters>18063</Characters>
  <CharactersWithSpaces>20766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2025-04-06T10:31:00Z</dcterms:created>
  <dc:creator>Γεωργία Δημοπούλου</dc:creator>
  <dc:description/>
  <dc:language>en-US</dc:language>
  <cp:lastModifiedBy/>
  <dcterms:modified xsi:type="dcterms:W3CDTF">2025-05-07T00:24:06Z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