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outlineLvl w:val="0"/>
        <w:rPr>
          <w:rFonts w:ascii="Times New Roman" w:hAnsi="Times New Roman" w:eastAsia="Times New Roman" w:cs="Times New Roman"/>
          <w:b/>
          <w:b/>
          <w:bCs/>
          <w:kern w:val="2"/>
          <w:sz w:val="28"/>
          <w:szCs w:val="28"/>
          <w14:ligatures w14:val="none"/>
        </w:rPr>
      </w:pPr>
      <w:r>
        <w:rPr>
          <w:rFonts w:eastAsia="Times New Roman" w:cs="Times New Roman" w:ascii="Times New Roman" w:hAnsi="Times New Roman"/>
          <w:b/>
          <w:bCs/>
          <w:kern w:val="2"/>
          <w:sz w:val="28"/>
          <w:szCs w:val="28"/>
          <w:lang w:val="en-US"/>
          <w14:ligatures w14:val="none"/>
        </w:rPr>
        <w:t>Interreg</w:t>
      </w:r>
      <w:r>
        <w:rPr>
          <w:rFonts w:eastAsia="Times New Roman" w:cs="Times New Roman" w:ascii="Times New Roman" w:hAnsi="Times New Roman"/>
          <w:b/>
          <w:bCs/>
          <w:kern w:val="2"/>
          <w:sz w:val="28"/>
          <w:szCs w:val="28"/>
          <w14:ligatures w14:val="none"/>
        </w:rPr>
        <w:t xml:space="preserve"> 2006-2008</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lang w:val="en-US"/>
          <w14:ligatures w14:val="none"/>
        </w:rPr>
        <w:t>Interreg</w:t>
      </w:r>
      <w:r>
        <w:rPr>
          <w:rFonts w:eastAsia="Times New Roman" w:cs="Times New Roman" w:ascii="Times New Roman" w:hAnsi="Times New Roman"/>
          <w:kern w:val="0"/>
          <w:sz w:val="24"/>
          <w:szCs w:val="24"/>
          <w14:ligatures w14:val="none"/>
        </w:rPr>
        <w:t xml:space="preserve"> 2006-2008, Πανεπιστήμιο Πατρών, Τμήμα Θεατρικών Σπουδών.</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7"/>
          <w:szCs w:val="27"/>
          <w14:ligatures w14:val="none"/>
        </w:rPr>
        <w:t>Σχετικά με το έργο</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Το έργο </w:t>
      </w:r>
      <w:r>
        <w:rPr>
          <w:rFonts w:eastAsia="Times New Roman" w:cs="Times New Roman" w:ascii="Times New Roman" w:hAnsi="Times New Roman"/>
          <w:b/>
          <w:bCs/>
          <w:kern w:val="0"/>
          <w:sz w:val="24"/>
          <w:szCs w:val="24"/>
          <w14:ligatures w14:val="none"/>
        </w:rPr>
        <w:t>“Οι χάρτες του Οδυσσέα”, πολιτιστικά αξιοθέατα της Δυτικής Ελλάδας – Απουλία Ιταλίας</w:t>
      </w:r>
      <w:r>
        <w:rPr>
          <w:rFonts w:eastAsia="Times New Roman" w:cs="Times New Roman" w:ascii="Times New Roman" w:hAnsi="Times New Roman"/>
          <w:kern w:val="0"/>
          <w:sz w:val="24"/>
          <w:szCs w:val="24"/>
          <w14:ligatures w14:val="none"/>
        </w:rPr>
        <w:t>, είναι ένα καινούργιο ταξίδι του Οδυσσέα για την ανακάλυψη τόπων, ατόμων και δραστηριοτήτων που χαρακτηρίζουν την μεσογειακή πολιτιστική κληρονομιά. Ερωτηματολόγια και τεστ, απογραφή και μελέτη 20 ιστορικών και αρχιτεκτονικών αγαθών υψηλής ποιότητας, συνθετική έκθεση on line, οδηγός των πολιτιστικών και καλλιτεχνικών αγαθών και δραστηριοτήτων στις περιοχές του ‘έργου’ (target) της Δυτικής Ελλάδας.</w:t>
      </w:r>
    </w:p>
    <w:tbl>
      <w:tblPr>
        <w:tblW w:w="8550" w:type="dxa"/>
        <w:jc w:val="center"/>
        <w:tblInd w:w="0" w:type="dxa"/>
        <w:tblLayout w:type="fixed"/>
        <w:tblCellMar>
          <w:top w:w="0" w:type="dxa"/>
          <w:left w:w="0" w:type="dxa"/>
          <w:bottom w:w="0" w:type="dxa"/>
          <w:right w:w="0" w:type="dxa"/>
        </w:tblCellMar>
        <w:tblLook w:val="04a0" w:noHBand="0" w:noVBand="1" w:firstColumn="1" w:lastRow="0" w:lastColumn="0" w:firstRow="1"/>
      </w:tblPr>
      <w:tblGrid>
        <w:gridCol w:w="8550"/>
      </w:tblGrid>
      <w:tr>
        <w:trPr>
          <w:trHeight w:val="170" w:hRule="exact"/>
        </w:trPr>
        <w:tc>
          <w:tcPr>
            <w:tcW w:w="8550" w:type="dxa"/>
            <w:tcBorders/>
            <w:vAlign w:val="center"/>
          </w:tcPr>
          <w:p>
            <w:pPr>
              <w:pStyle w:val="Normal"/>
              <w:widowControl w:val="false"/>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tc>
      </w:tr>
      <w:tr>
        <w:trPr>
          <w:trHeight w:val="10" w:hRule="exact"/>
        </w:trPr>
        <w:tc>
          <w:tcPr>
            <w:tcW w:w="8550" w:type="dxa"/>
            <w:tcBorders/>
          </w:tcPr>
          <w:p>
            <w:pPr>
              <w:pStyle w:val="Normal"/>
              <w:widowControl w:val="false"/>
              <w:spacing w:lineRule="auto" w:line="240" w:before="0" w:after="0"/>
              <w:rPr>
                <w:rFonts w:ascii="Times New Roman" w:hAnsi="Times New Roman" w:eastAsia="Times New Roman" w:cs="Times New Roman"/>
                <w:kern w:val="0"/>
                <w:sz w:val="20"/>
                <w:szCs w:val="20"/>
                <w14:ligatures w14:val="none"/>
              </w:rPr>
            </w:pPr>
            <w:r>
              <w:rPr>
                <w:rFonts w:eastAsia="Times New Roman" w:cs="Times New Roman" w:ascii="Times New Roman" w:hAnsi="Times New Roman"/>
                <w:kern w:val="0"/>
                <w:sz w:val="20"/>
                <w:szCs w:val="20"/>
                <w14:ligatures w14:val="none"/>
              </w:rPr>
            </w:r>
          </w:p>
        </w:tc>
      </w:tr>
      <w:tr>
        <w:trPr/>
        <w:tc>
          <w:tcPr>
            <w:tcW w:w="8550" w:type="dxa"/>
            <w:tcBorders/>
            <w:vAlign w:val="center"/>
          </w:tcPr>
          <w:p>
            <w:pPr>
              <w:pStyle w:val="Normal"/>
              <w:widowControl w:val="false"/>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7"/>
                <w:szCs w:val="27"/>
                <w14:ligatures w14:val="none"/>
              </w:rPr>
              <w:br/>
            </w:r>
            <w:r>
              <w:rPr>
                <w:rFonts w:eastAsia="Times New Roman" w:cs="Times New Roman" w:ascii="Times New Roman" w:hAnsi="Times New Roman"/>
                <w:b/>
                <w:bCs/>
                <w:kern w:val="0"/>
                <w:sz w:val="27"/>
                <w:szCs w:val="27"/>
                <w14:ligatures w14:val="none"/>
              </w:rPr>
              <w:t>Ομάδα εργασίας:</w:t>
            </w:r>
            <w:r>
              <w:rPr>
                <w:rFonts w:eastAsia="Times New Roman" w:cs="Times New Roman" w:ascii="Times New Roman" w:hAnsi="Times New Roman"/>
                <w:kern w:val="0"/>
                <w:sz w:val="27"/>
                <w:szCs w:val="27"/>
                <w14:ligatures w14:val="none"/>
              </w:rPr>
              <w:br/>
              <w:t>ΣΤΑΥΡΟΣ ΤΣΙΤΣΙΡΙΔΗΣ, Αναπληρωτής Καθηγητής Αρχαίας Ελληνικής Φιλολογίας του Τμήματος Θεατρικών Σπουδών (επιστημονικός υπεύθυνος)</w:t>
            </w:r>
          </w:p>
          <w:p>
            <w:pPr>
              <w:pStyle w:val="Normal"/>
              <w:widowControl w:val="false"/>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ΑΙΚΑΤΕΡΙΝΗ</w:t>
            </w:r>
            <w:r>
              <w:rPr>
                <w:rFonts w:eastAsia="Times New Roman" w:cs="Times New Roman" w:ascii="Times New Roman" w:hAnsi="Times New Roman"/>
                <w:kern w:val="0"/>
                <w:sz w:val="24"/>
                <w:szCs w:val="24"/>
                <w:lang w:val="el-CY"/>
                <w14:ligatures w14:val="none"/>
              </w:rPr>
              <w:t xml:space="preserve"> </w:t>
            </w:r>
            <w:r>
              <w:rPr>
                <w:rFonts w:eastAsia="Times New Roman" w:cs="Times New Roman" w:ascii="Times New Roman" w:hAnsi="Times New Roman"/>
                <w:kern w:val="0"/>
                <w:sz w:val="24"/>
                <w:szCs w:val="24"/>
                <w14:ligatures w14:val="none"/>
              </w:rPr>
              <w:t>(</w:t>
            </w:r>
            <w:r>
              <w:rPr>
                <w:rFonts w:eastAsia="Times New Roman" w:cs="Times New Roman" w:ascii="Times New Roman" w:hAnsi="Times New Roman"/>
                <w:kern w:val="0"/>
                <w:sz w:val="24"/>
                <w:szCs w:val="24"/>
                <w:lang w:val="en-US"/>
                <w14:ligatures w14:val="none"/>
              </w:rPr>
              <w:t>KATIA</w:t>
            </w:r>
            <w:r>
              <w:rPr>
                <w:rFonts w:eastAsia="Times New Roman" w:cs="Times New Roman" w:ascii="Times New Roman" w:hAnsi="Times New Roman"/>
                <w:kern w:val="0"/>
                <w:sz w:val="24"/>
                <w:szCs w:val="24"/>
                <w14:ligatures w14:val="none"/>
              </w:rPr>
              <w:t>) ΣΑΒΡΑΜΗ, Λέκτορας Τμήματος Θεατρικών Σπουδών (αναπληρώτρια επιστημονική υπεύθυνος / συντονίστρια)</w:t>
            </w:r>
          </w:p>
          <w:p>
            <w:pPr>
              <w:pStyle w:val="Normal"/>
              <w:widowControl w:val="false"/>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7"/>
                <w:szCs w:val="27"/>
                <w:lang w:val="en-US"/>
                <w14:ligatures w14:val="none"/>
              </w:rPr>
              <w:t>MARTIN</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7"/>
                <w:szCs w:val="27"/>
                <w:lang w:val="en-US"/>
                <w14:ligatures w14:val="none"/>
              </w:rPr>
              <w:t>KREEB</w:t>
            </w:r>
            <w:r>
              <w:rPr>
                <w:rFonts w:eastAsia="Times New Roman" w:cs="Times New Roman" w:ascii="Times New Roman" w:hAnsi="Times New Roman"/>
                <w:kern w:val="0"/>
                <w:sz w:val="27"/>
                <w:szCs w:val="27"/>
                <w14:ligatures w14:val="none"/>
              </w:rPr>
              <w:t>, Αναπληρωτής Καθηγητής Κλασσικής Αρχαιολογίας του Τμήματος Θεατρικών Σπουδών (αρχαιολογικές αναφορές)</w:t>
            </w:r>
          </w:p>
          <w:p>
            <w:pPr>
              <w:pStyle w:val="Normal"/>
              <w:widowControl w:val="false"/>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ΑΝΤΩΝΗΣ ΚΑΛΟΓΗΡΟΥ (κείμενα, φωτογραφίες)</w:t>
            </w:r>
          </w:p>
          <w:p>
            <w:pPr>
              <w:pStyle w:val="Normal"/>
              <w:widowControl w:val="false"/>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ΘΑΝΑΣΗΣ ΓΙΑΝΝΑΚΟΠΟΥΛΟΣ (Μεταφραστής)</w:t>
            </w:r>
          </w:p>
          <w:tbl>
            <w:tblPr>
              <w:tblW w:w="8550" w:type="dxa"/>
              <w:jc w:val="center"/>
              <w:tblInd w:w="0" w:type="dxa"/>
              <w:tblLayout w:type="fixed"/>
              <w:tblCellMar>
                <w:top w:w="0" w:type="dxa"/>
                <w:left w:w="0" w:type="dxa"/>
                <w:bottom w:w="0" w:type="dxa"/>
                <w:right w:w="0" w:type="dxa"/>
              </w:tblCellMar>
              <w:tblLook w:val="04a0" w:noHBand="0" w:noVBand="1" w:firstColumn="1" w:lastRow="0" w:lastColumn="0" w:firstRow="1"/>
            </w:tblPr>
            <w:tblGrid>
              <w:gridCol w:w="8550"/>
            </w:tblGrid>
            <w:tr>
              <w:trPr/>
              <w:tc>
                <w:tcPr>
                  <w:tcW w:w="8550" w:type="dxa"/>
                  <w:tcBorders/>
                  <w:vAlign w:val="center"/>
                </w:tcPr>
                <w:p>
                  <w:pPr>
                    <w:pStyle w:val="Normal"/>
                    <w:widowControl w:val="false"/>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7"/>
                      <w:szCs w:val="27"/>
                      <w14:ligatures w14:val="none"/>
                    </w:rPr>
                    <w:t>Ερωτηματολόγιο</w:t>
                  </w:r>
                </w:p>
                <w:p>
                  <w:pPr>
                    <w:pStyle w:val="Normal"/>
                    <w:widowControl w:val="false"/>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1) Ποιοι είναι τα σημαντικότερα μνημεία, εκδηλώσεις ή ιστορικές προσωπικότητες που συνδέονται άρρηκτα με την πολιτιστική ζωή και κληρονομιά της περιοχής σας;</w:t>
                  </w:r>
                </w:p>
                <w:p>
                  <w:pPr>
                    <w:pStyle w:val="Normal"/>
                    <w:widowControl w:val="false"/>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2) Ποιοι πολιτιστικοί τόποι ή καλλιτεχνικές εκδηλώσεις θεωρείτε ότι μπορούν να αποτελέσουν κοινό σημείο ενδιαφέροντος μεταξύ Ιταλίας και Ελλάδας;</w:t>
                  </w:r>
                </w:p>
                <w:p>
                  <w:pPr>
                    <w:pStyle w:val="Normal"/>
                    <w:widowControl w:val="false"/>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3) Αναφέρατε, εφόσον υπάρχουν, τα ονόματα καλλιτεχνών ή λογίων που θεωρείτε ότι συνέβαλαν κατά το παρελθόν στον πολιτιστικό διάλογο μεταξύ Ιταλίας και Ελλάδας.</w:t>
                  </w:r>
                </w:p>
                <w:p>
                  <w:pPr>
                    <w:pStyle w:val="Normal"/>
                    <w:widowControl w:val="false"/>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4) Αναφέρατε, εφόσον υπάρχουν, ζώντες καλλιτέχνες ή λογίους που θα μπορούσαν στο μέλλον να αποτελέσουν δίαυλο επικοινωνίας μεταξύ Ελλάδας και Ιταλίας.</w:t>
                  </w:r>
                </w:p>
                <w:p>
                  <w:pPr>
                    <w:pStyle w:val="Normal"/>
                    <w:widowControl w:val="false"/>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5) Ποια είναι τα σημαντικότερα πολιτιστικά κέντρα και θεσμοί της περιοχής σας που συμμετέχουν σε εκδηλώσεις από τον χώρο του θεάματος;</w:t>
                  </w:r>
                </w:p>
                <w:p>
                  <w:pPr>
                    <w:pStyle w:val="Normal"/>
                    <w:widowControl w:val="false"/>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6) Σημειώστε τα κτήρια (μνημεία, εκκλησίες, κάστρα, θέατρα κ.ά.) τα οποία έχουν επηρεαστεί από την ιταλική αρχιτεκτονική.</w:t>
                  </w:r>
                </w:p>
                <w:p>
                  <w:pPr>
                    <w:pStyle w:val="Normal"/>
                    <w:widowControl w:val="false"/>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7) Σημειώστε, εφόσον υπάρχουν, συγκεκριμένους βιομηχανικούς χώρους τους οποίους χρησιμοποιείτε για πολιτιστικές λειτουργίες.</w:t>
                  </w:r>
                </w:p>
                <w:p>
                  <w:pPr>
                    <w:pStyle w:val="Normal"/>
                    <w:widowControl w:val="false"/>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Το ερωτηματολόγιο περιλάμβανε τις παραπάνω 7 ερωτήσεις κλειστού τύπου, οι οποίες σχετίζονται άμεσα με τους σκοπούς της έρευνας. Οι ερωτήσεις κλειστού τύπου είχαν στόχο την απόσπαση απαντήσεων, με ενιαίο τρόπο, από όλους τους συμμετέχοντες . Έτσι τα δεδομένα τα οποία προκύπτουν είναι επαρκεί για συγκρίσεις.</w:t>
                  </w:r>
                </w:p>
                <w:p>
                  <w:pPr>
                    <w:pStyle w:val="Normal"/>
                    <w:widowControl w:val="false"/>
                    <w:spacing w:lineRule="auto" w:line="240" w:beforeAutospacing="1"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Τα ερωτηματολόγια (60 στο σύνολο), διανεμήθηκαν στους τοπικούς πολιτιστικούς φορείς (20), τις Νομαρχίες (20) και τους Δήμους (20) της Δυτικής Ελλάδας. Ο συνολικός αριθμός των ερωτηματολογίων πού συμπληρώθηκαν από τους ανωτέρω φορείς και επιστράφηκαν ήταν 45 (δείγμα που κρίθηκε επαρκές). </w:t>
                  </w:r>
                </w:p>
              </w:tc>
            </w:tr>
          </w:tbl>
          <w:p>
            <w:pPr>
              <w:pStyle w:val="Normal"/>
              <w:widowControl w:val="false"/>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7"/>
                <w:szCs w:val="27"/>
                <w14:ligatures w14:val="none"/>
              </w:rPr>
              <w:br/>
              <w:t>Ύστερα από έρευνα, η οποία διεξήχθη σε συνεργασία και με τοπικούς πολιτιστικούς φορείς, Νομαρχίες και Δήμους, η ομάδα εργασίας αξιολόγησε και κατέληξε στους ακόλουθους 20 σημαντικότερους τόπους της Δυτικής Ελλάδας, οι οποίοι φέρουν ιστορική αρχιτεκτονική και πολιτιστική κληρονομιά. Ο κάθε ένας χωριστά και για διαφορετικούς λόγους αναδεικνύει και προβάλλει άτομα και δραστηριότητες οι οποίες συμβάλλουν στην διατήρηση της πολιτισμικής μας κληρονομιάς.</w:t>
              <w:br/>
              <w:t xml:space="preserve">Την υλοποίηση της καταγραφής των τόπων και των πολιτιστικών δραστηριοτήτων ανέλαβε το γραφείο μελετών </w:t>
            </w:r>
            <w:r>
              <w:rPr>
                <w:rFonts w:eastAsia="Times New Roman" w:cs="Times New Roman" w:ascii="Times New Roman" w:hAnsi="Times New Roman"/>
                <w:kern w:val="0"/>
                <w:sz w:val="27"/>
                <w:szCs w:val="27"/>
                <w:lang w:val="en-US"/>
                <w14:ligatures w14:val="none"/>
              </w:rPr>
              <w:t>SPEED</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7"/>
                <w:szCs w:val="27"/>
                <w:lang w:val="en-US"/>
                <w14:ligatures w14:val="none"/>
              </w:rPr>
              <w:t>AE</w:t>
            </w:r>
            <w:r>
              <w:rPr>
                <w:rFonts w:eastAsia="Times New Roman" w:cs="Times New Roman" w:ascii="Times New Roman" w:hAnsi="Times New Roman"/>
                <w:kern w:val="0"/>
                <w:sz w:val="27"/>
                <w:szCs w:val="27"/>
                <w14:ligatures w14:val="none"/>
              </w:rPr>
              <w:t>. Μετά την παράδοση της αναλυτικής καταγραφής των πολιτιστικών τόπων από το γραφείο μελετών στη συντονίστρια του προγράμματος διασφαλίστηκε η ερευνητική ποιότητα του περιεχομένου.</w:t>
            </w:r>
          </w:p>
          <w:p>
            <w:pPr>
              <w:pStyle w:val="Normal"/>
              <w:widowControl w:val="false"/>
              <w:spacing w:lineRule="auto" w:line="240" w:beforeAutospacing="1"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i/>
                <w:iCs/>
                <w:kern w:val="0"/>
                <w:sz w:val="27"/>
                <w:szCs w:val="27"/>
                <w14:ligatures w14:val="none"/>
              </w:rPr>
              <w:t xml:space="preserve">Ευχαριστούμε την εταιρία </w:t>
            </w:r>
            <w:r>
              <w:rPr>
                <w:rFonts w:eastAsia="Times New Roman" w:cs="Times New Roman" w:ascii="Times New Roman" w:hAnsi="Times New Roman"/>
                <w:i/>
                <w:iCs/>
                <w:kern w:val="0"/>
                <w:sz w:val="27"/>
                <w:szCs w:val="27"/>
                <w:lang w:val="en-US"/>
                <w14:ligatures w14:val="none"/>
              </w:rPr>
              <w:t>ROAD</w:t>
            </w:r>
            <w:r>
              <w:rPr>
                <w:rFonts w:eastAsia="Times New Roman" w:cs="Times New Roman" w:ascii="Times New Roman" w:hAnsi="Times New Roman"/>
                <w:i/>
                <w:iCs/>
                <w:kern w:val="0"/>
                <w:sz w:val="27"/>
                <w:szCs w:val="27"/>
                <w14:ligatures w14:val="none"/>
              </w:rPr>
              <w:t xml:space="preserve"> για την παραχώρηση χρήσεως των χαρτών.</w:t>
            </w:r>
          </w:p>
        </w:tc>
      </w:tr>
    </w:tbl>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lang w:val="en-US"/>
          <w14:ligatures w14:val="none"/>
        </w:rPr>
        <w:t>Site</w:t>
      </w:r>
      <w:r>
        <w:rPr>
          <w:rFonts w:eastAsia="Times New Roman" w:cs="Times New Roman" w:ascii="Times New Roman" w:hAnsi="Times New Roman"/>
          <w:kern w:val="0"/>
          <w:sz w:val="24"/>
          <w:szCs w:val="24"/>
          <w14:ligatures w14:val="none"/>
        </w:rPr>
        <w:t xml:space="preserve"> του έργου: </w:t>
      </w:r>
      <w:hyperlink r:id="rId2">
        <w:r>
          <w:rPr>
            <w:rFonts w:eastAsia="Times New Roman" w:cs="Times New Roman" w:ascii="Times New Roman" w:hAnsi="Times New Roman"/>
            <w:color w:val="0000FF"/>
            <w:kern w:val="0"/>
            <w:sz w:val="24"/>
            <w:szCs w:val="24"/>
            <w:u w:val="single"/>
            <w:lang w:val="en-US"/>
            <w14:ligatures w14:val="none"/>
          </w:rPr>
          <w:t>ecumenes</w:t>
        </w:r>
        <w:r>
          <w:rPr>
            <w:rFonts w:eastAsia="Times New Roman" w:cs="Times New Roman" w:ascii="Times New Roman" w:hAnsi="Times New Roman"/>
            <w:color w:val="0000FF"/>
            <w:kern w:val="0"/>
            <w:sz w:val="24"/>
            <w:szCs w:val="24"/>
            <w:u w:val="single"/>
            <w14:ligatures w14:val="none"/>
          </w:rPr>
          <w:t>.</w:t>
        </w:r>
        <w:r>
          <w:rPr>
            <w:rFonts w:eastAsia="Times New Roman" w:cs="Times New Roman" w:ascii="Times New Roman" w:hAnsi="Times New Roman"/>
            <w:color w:val="0000FF"/>
            <w:kern w:val="0"/>
            <w:sz w:val="24"/>
            <w:szCs w:val="24"/>
            <w:u w:val="single"/>
            <w:lang w:val="en-US"/>
            <w14:ligatures w14:val="none"/>
          </w:rPr>
          <w:t>pezoporia</w:t>
        </w:r>
        <w:r>
          <w:rPr>
            <w:rFonts w:eastAsia="Times New Roman" w:cs="Times New Roman" w:ascii="Times New Roman" w:hAnsi="Times New Roman"/>
            <w:color w:val="0000FF"/>
            <w:kern w:val="0"/>
            <w:sz w:val="24"/>
            <w:szCs w:val="24"/>
            <w:u w:val="single"/>
            <w14:ligatures w14:val="none"/>
          </w:rPr>
          <w:t>.</w:t>
        </w:r>
        <w:r>
          <w:rPr>
            <w:rFonts w:eastAsia="Times New Roman" w:cs="Times New Roman" w:ascii="Times New Roman" w:hAnsi="Times New Roman"/>
            <w:color w:val="0000FF"/>
            <w:kern w:val="0"/>
            <w:sz w:val="24"/>
            <w:szCs w:val="24"/>
            <w:u w:val="single"/>
            <w:lang w:val="en-US"/>
            <w14:ligatures w14:val="none"/>
          </w:rPr>
          <w:t>gr</w:t>
        </w:r>
      </w:hyperlink>
      <w:r>
        <w:rPr>
          <w:rFonts w:eastAsia="Times New Roman" w:cs="Times New Roman" w:ascii="Times New Roman" w:hAnsi="Times New Roman"/>
          <w:kern w:val="0"/>
          <w:sz w:val="24"/>
          <w:szCs w:val="24"/>
          <w14:ligatures w14:val="none"/>
        </w:rPr>
        <w:t xml:space="preserve"> (</w:t>
      </w:r>
      <w:hyperlink r:id="rId3">
        <w:r>
          <w:rPr>
            <w:rFonts w:eastAsia="Times New Roman" w:cs="Times New Roman" w:ascii="Times New Roman" w:hAnsi="Times New Roman"/>
            <w:color w:val="0000FF"/>
            <w:kern w:val="0"/>
            <w:sz w:val="24"/>
            <w:szCs w:val="24"/>
            <w:u w:val="single"/>
            <w14:ligatures w14:val="none"/>
          </w:rPr>
          <w:t>αρχείο/</w:t>
        </w:r>
        <w:r>
          <w:rPr>
            <w:rFonts w:eastAsia="Times New Roman" w:cs="Times New Roman" w:ascii="Times New Roman" w:hAnsi="Times New Roman"/>
            <w:color w:val="0000FF"/>
            <w:kern w:val="0"/>
            <w:sz w:val="24"/>
            <w:szCs w:val="24"/>
            <w:u w:val="single"/>
            <w:lang w:val="en-US"/>
            <w14:ligatures w14:val="none"/>
          </w:rPr>
          <w:t>mirror</w:t>
        </w:r>
      </w:hyperlink>
      <w:r>
        <w:rPr>
          <w:rFonts w:eastAsia="Times New Roman" w:cs="Times New Roman" w:ascii="Times New Roman" w:hAnsi="Times New Roman"/>
          <w:kern w:val="0"/>
          <w:sz w:val="24"/>
          <w:szCs w:val="24"/>
          <w14:ligatures w14:val="none"/>
        </w:rPr>
        <w:t>).</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Υλικό:</w:t>
      </w:r>
    </w:p>
    <w:p>
      <w:pPr>
        <w:pStyle w:val="Normal"/>
        <w:numPr>
          <w:ilvl w:val="0"/>
          <w:numId w:val="1"/>
        </w:numPr>
        <w:spacing w:lineRule="auto" w:line="240" w:beforeAutospacing="1" w:after="0"/>
        <w:rPr>
          <w:rFonts w:ascii="Times New Roman" w:hAnsi="Times New Roman" w:eastAsia="Times New Roman" w:cs="Times New Roman"/>
          <w:kern w:val="0"/>
          <w:sz w:val="24"/>
          <w:szCs w:val="24"/>
          <w14:ligatures w14:val="none"/>
        </w:rPr>
      </w:pPr>
      <w:hyperlink r:id="rId4">
        <w:r>
          <w:rPr>
            <w:rFonts w:eastAsia="Times New Roman" w:cs="Times New Roman" w:ascii="Times New Roman" w:hAnsi="Times New Roman"/>
            <w:color w:val="0000FF"/>
            <w:kern w:val="0"/>
            <w:sz w:val="24"/>
            <w:szCs w:val="24"/>
            <w:u w:val="single"/>
            <w14:ligatures w14:val="none"/>
          </w:rPr>
          <w:t>«Οι χάρτες του Οδυσσέα» μέρος Α</w:t>
        </w:r>
      </w:hyperlink>
    </w:p>
    <w:p>
      <w:pPr>
        <w:pStyle w:val="Normal"/>
        <w:numPr>
          <w:ilvl w:val="0"/>
          <w:numId w:val="1"/>
        </w:numPr>
        <w:spacing w:lineRule="auto" w:line="240" w:before="0" w:afterAutospacing="1"/>
        <w:rPr>
          <w:rFonts w:ascii="Times New Roman" w:hAnsi="Times New Roman" w:eastAsia="Times New Roman" w:cs="Times New Roman"/>
          <w:kern w:val="0"/>
          <w:sz w:val="24"/>
          <w:szCs w:val="24"/>
          <w14:ligatures w14:val="none"/>
        </w:rPr>
      </w:pPr>
      <w:hyperlink r:id="rId6">
        <w:r>
          <w:rPr>
            <w:rFonts w:eastAsia="Times New Roman" w:cs="Times New Roman" w:ascii="Times New Roman" w:hAnsi="Times New Roman"/>
            <w:color w:val="0000FF"/>
            <w:kern w:val="0"/>
            <w:sz w:val="24"/>
            <w:szCs w:val="24"/>
            <w:u w:val="single"/>
            <w14:ligatures w14:val="none"/>
          </w:rPr>
          <w:t>«Οι χάρτες του Οδυσσέα» μέρος Β</w:t>
        </w:r>
      </w:hyperlink>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l-GR" w:eastAsia="en-US" w:bidi="ar-SA"/>
      <w14:ligatures w14:val="standardContextual"/>
    </w:rPr>
  </w:style>
  <w:style w:type="paragraph" w:styleId="Heading1">
    <w:name w:val="Heading 1"/>
    <w:basedOn w:val="Normal"/>
    <w:next w:val="Normal"/>
    <w:link w:val="Heading1Char"/>
    <w:uiPriority w:val="9"/>
    <w:qFormat/>
    <w:rsid w:val="00b561b2"/>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b561b2"/>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b561b2"/>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b561b2"/>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b561b2"/>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b561b2"/>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b561b2"/>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b561b2"/>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b561b2"/>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561b2"/>
    <w:rPr>
      <w:rFonts w:ascii="Aptos Display" w:hAnsi="Aptos Display" w:eastAsia="" w:cs="" w:asciiTheme="majorHAnsi" w:cstheme="majorBidi" w:eastAsiaTheme="majorEastAsia" w:hAnsiTheme="majorHAnsi"/>
      <w:color w:val="0F4761" w:themeColor="accent1" w:themeShade="bf"/>
      <w:sz w:val="40"/>
      <w:szCs w:val="40"/>
      <w:lang w:val="el-GR"/>
    </w:rPr>
  </w:style>
  <w:style w:type="character" w:styleId="Heading2Char" w:customStyle="1">
    <w:name w:val="Heading 2 Char"/>
    <w:basedOn w:val="DefaultParagraphFont"/>
    <w:link w:val="Heading2"/>
    <w:uiPriority w:val="9"/>
    <w:semiHidden/>
    <w:qFormat/>
    <w:rsid w:val="00b561b2"/>
    <w:rPr>
      <w:rFonts w:ascii="Aptos Display" w:hAnsi="Aptos Display" w:eastAsia="" w:cs="" w:asciiTheme="majorHAnsi" w:cstheme="majorBidi" w:eastAsiaTheme="majorEastAsia" w:hAnsiTheme="majorHAnsi"/>
      <w:color w:val="0F4761" w:themeColor="accent1" w:themeShade="bf"/>
      <w:sz w:val="32"/>
      <w:szCs w:val="32"/>
      <w:lang w:val="el-GR"/>
    </w:rPr>
  </w:style>
  <w:style w:type="character" w:styleId="Heading3Char" w:customStyle="1">
    <w:name w:val="Heading 3 Char"/>
    <w:basedOn w:val="DefaultParagraphFont"/>
    <w:link w:val="Heading3"/>
    <w:uiPriority w:val="9"/>
    <w:semiHidden/>
    <w:qFormat/>
    <w:rsid w:val="00b561b2"/>
    <w:rPr>
      <w:rFonts w:eastAsia="" w:cs="" w:cstheme="majorBidi" w:eastAsiaTheme="majorEastAsia"/>
      <w:color w:val="0F4761" w:themeColor="accent1" w:themeShade="bf"/>
      <w:sz w:val="28"/>
      <w:szCs w:val="28"/>
      <w:lang w:val="el-GR"/>
    </w:rPr>
  </w:style>
  <w:style w:type="character" w:styleId="Heading4Char" w:customStyle="1">
    <w:name w:val="Heading 4 Char"/>
    <w:basedOn w:val="DefaultParagraphFont"/>
    <w:link w:val="Heading4"/>
    <w:uiPriority w:val="9"/>
    <w:semiHidden/>
    <w:qFormat/>
    <w:rsid w:val="00b561b2"/>
    <w:rPr>
      <w:rFonts w:eastAsia="" w:cs="" w:cstheme="majorBidi" w:eastAsiaTheme="majorEastAsia"/>
      <w:i/>
      <w:iCs/>
      <w:color w:val="0F4761" w:themeColor="accent1" w:themeShade="bf"/>
      <w:lang w:val="el-GR"/>
    </w:rPr>
  </w:style>
  <w:style w:type="character" w:styleId="Heading5Char" w:customStyle="1">
    <w:name w:val="Heading 5 Char"/>
    <w:basedOn w:val="DefaultParagraphFont"/>
    <w:link w:val="Heading5"/>
    <w:uiPriority w:val="9"/>
    <w:semiHidden/>
    <w:qFormat/>
    <w:rsid w:val="00b561b2"/>
    <w:rPr>
      <w:rFonts w:eastAsia="" w:cs="" w:cstheme="majorBidi" w:eastAsiaTheme="majorEastAsia"/>
      <w:color w:val="0F4761" w:themeColor="accent1" w:themeShade="bf"/>
      <w:lang w:val="el-GR"/>
    </w:rPr>
  </w:style>
  <w:style w:type="character" w:styleId="Heading6Char" w:customStyle="1">
    <w:name w:val="Heading 6 Char"/>
    <w:basedOn w:val="DefaultParagraphFont"/>
    <w:link w:val="Heading6"/>
    <w:uiPriority w:val="9"/>
    <w:semiHidden/>
    <w:qFormat/>
    <w:rsid w:val="00b561b2"/>
    <w:rPr>
      <w:rFonts w:eastAsia="" w:cs="" w:cstheme="majorBidi" w:eastAsiaTheme="majorEastAsia"/>
      <w:i/>
      <w:iCs/>
      <w:color w:val="595959" w:themeColor="text1" w:themeTint="a6"/>
      <w:lang w:val="el-GR"/>
    </w:rPr>
  </w:style>
  <w:style w:type="character" w:styleId="Heading7Char" w:customStyle="1">
    <w:name w:val="Heading 7 Char"/>
    <w:basedOn w:val="DefaultParagraphFont"/>
    <w:link w:val="Heading7"/>
    <w:uiPriority w:val="9"/>
    <w:semiHidden/>
    <w:qFormat/>
    <w:rsid w:val="00b561b2"/>
    <w:rPr>
      <w:rFonts w:eastAsia="" w:cs="" w:cstheme="majorBidi" w:eastAsiaTheme="majorEastAsia"/>
      <w:color w:val="595959" w:themeColor="text1" w:themeTint="a6"/>
      <w:lang w:val="el-GR"/>
    </w:rPr>
  </w:style>
  <w:style w:type="character" w:styleId="Heading8Char" w:customStyle="1">
    <w:name w:val="Heading 8 Char"/>
    <w:basedOn w:val="DefaultParagraphFont"/>
    <w:link w:val="Heading8"/>
    <w:uiPriority w:val="9"/>
    <w:semiHidden/>
    <w:qFormat/>
    <w:rsid w:val="00b561b2"/>
    <w:rPr>
      <w:rFonts w:eastAsia="" w:cs="" w:cstheme="majorBidi" w:eastAsiaTheme="majorEastAsia"/>
      <w:i/>
      <w:iCs/>
      <w:color w:val="272727" w:themeColor="text1" w:themeTint="d8"/>
      <w:lang w:val="el-GR"/>
    </w:rPr>
  </w:style>
  <w:style w:type="character" w:styleId="Heading9Char" w:customStyle="1">
    <w:name w:val="Heading 9 Char"/>
    <w:basedOn w:val="DefaultParagraphFont"/>
    <w:link w:val="Heading9"/>
    <w:uiPriority w:val="9"/>
    <w:semiHidden/>
    <w:qFormat/>
    <w:rsid w:val="00b561b2"/>
    <w:rPr>
      <w:rFonts w:eastAsia="" w:cs="" w:cstheme="majorBidi" w:eastAsiaTheme="majorEastAsia"/>
      <w:color w:val="272727" w:themeColor="text1" w:themeTint="d8"/>
      <w:lang w:val="el-GR"/>
    </w:rPr>
  </w:style>
  <w:style w:type="character" w:styleId="TitleChar" w:customStyle="1">
    <w:name w:val="Title Char"/>
    <w:basedOn w:val="DefaultParagraphFont"/>
    <w:link w:val="Title"/>
    <w:uiPriority w:val="10"/>
    <w:qFormat/>
    <w:rsid w:val="00b561b2"/>
    <w:rPr>
      <w:rFonts w:ascii="Aptos Display" w:hAnsi="Aptos Display" w:eastAsia="" w:cs="" w:asciiTheme="majorHAnsi" w:cstheme="majorBidi" w:eastAsiaTheme="majorEastAsia" w:hAnsiTheme="majorHAnsi"/>
      <w:spacing w:val="-10"/>
      <w:kern w:val="2"/>
      <w:sz w:val="56"/>
      <w:szCs w:val="56"/>
      <w:lang w:val="el-GR"/>
    </w:rPr>
  </w:style>
  <w:style w:type="character" w:styleId="SubtitleChar" w:customStyle="1">
    <w:name w:val="Subtitle Char"/>
    <w:basedOn w:val="DefaultParagraphFont"/>
    <w:link w:val="Subtitle"/>
    <w:uiPriority w:val="11"/>
    <w:qFormat/>
    <w:rsid w:val="00b561b2"/>
    <w:rPr>
      <w:rFonts w:eastAsia="" w:cs="" w:cstheme="majorBidi" w:eastAsiaTheme="majorEastAsia"/>
      <w:color w:val="595959" w:themeColor="text1" w:themeTint="a6"/>
      <w:spacing w:val="15"/>
      <w:sz w:val="28"/>
      <w:szCs w:val="28"/>
      <w:lang w:val="el-GR"/>
    </w:rPr>
  </w:style>
  <w:style w:type="character" w:styleId="QuoteChar" w:customStyle="1">
    <w:name w:val="Quote Char"/>
    <w:basedOn w:val="DefaultParagraphFont"/>
    <w:link w:val="Quote"/>
    <w:uiPriority w:val="29"/>
    <w:qFormat/>
    <w:rsid w:val="00b561b2"/>
    <w:rPr>
      <w:i/>
      <w:iCs/>
      <w:color w:val="404040" w:themeColor="text1" w:themeTint="bf"/>
      <w:lang w:val="el-GR"/>
    </w:rPr>
  </w:style>
  <w:style w:type="character" w:styleId="IntenseEmphasis">
    <w:name w:val="Intense Emphasis"/>
    <w:basedOn w:val="DefaultParagraphFont"/>
    <w:uiPriority w:val="21"/>
    <w:qFormat/>
    <w:rsid w:val="00b561b2"/>
    <w:rPr>
      <w:i/>
      <w:iCs/>
      <w:color w:val="0F4761" w:themeColor="accent1" w:themeShade="bf"/>
    </w:rPr>
  </w:style>
  <w:style w:type="character" w:styleId="IntenseQuoteChar" w:customStyle="1">
    <w:name w:val="Intense Quote Char"/>
    <w:basedOn w:val="DefaultParagraphFont"/>
    <w:link w:val="IntenseQuote"/>
    <w:uiPriority w:val="30"/>
    <w:qFormat/>
    <w:rsid w:val="00b561b2"/>
    <w:rPr>
      <w:i/>
      <w:iCs/>
      <w:color w:val="0F4761" w:themeColor="accent1" w:themeShade="bf"/>
      <w:lang w:val="el-GR"/>
    </w:rPr>
  </w:style>
  <w:style w:type="character" w:styleId="IntenseReference">
    <w:name w:val="Intense Reference"/>
    <w:basedOn w:val="DefaultParagraphFont"/>
    <w:uiPriority w:val="32"/>
    <w:qFormat/>
    <w:rsid w:val="00b561b2"/>
    <w:rPr>
      <w:b/>
      <w:bCs/>
      <w:smallCaps/>
      <w:color w:val="0F4761" w:themeColor="accent1" w:themeShade="bf"/>
      <w:spacing w:val="5"/>
    </w:rPr>
  </w:style>
  <w:style w:type="character" w:styleId="PlaceholderText">
    <w:name w:val="Placeholder Text"/>
    <w:basedOn w:val="DefaultParagraphFont"/>
    <w:uiPriority w:val="99"/>
    <w:semiHidden/>
    <w:qFormat/>
    <w:rsid w:val="00c16cec"/>
    <w:rPr>
      <w:color w:val="666666"/>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b561b2"/>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b561b2"/>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b561b2"/>
    <w:pPr>
      <w:spacing w:before="160" w:after="160"/>
      <w:jc w:val="center"/>
    </w:pPr>
    <w:rPr>
      <w:i/>
      <w:iCs/>
      <w:color w:val="404040" w:themeColor="text1" w:themeTint="bf"/>
    </w:rPr>
  </w:style>
  <w:style w:type="paragraph" w:styleId="ListParagraph">
    <w:name w:val="List Paragraph"/>
    <w:basedOn w:val="Normal"/>
    <w:uiPriority w:val="34"/>
    <w:qFormat/>
    <w:rsid w:val="00b561b2"/>
    <w:pPr>
      <w:spacing w:before="0" w:after="160"/>
      <w:ind w:left="720" w:hanging="0"/>
      <w:contextualSpacing/>
    </w:pPr>
    <w:rPr/>
  </w:style>
  <w:style w:type="paragraph" w:styleId="IntenseQuote">
    <w:name w:val="Intense Quote"/>
    <w:basedOn w:val="Normal"/>
    <w:next w:val="Normal"/>
    <w:link w:val="IntenseQuoteChar"/>
    <w:uiPriority w:val="30"/>
    <w:qFormat/>
    <w:rsid w:val="00b561b2"/>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cumenes.pezoporia.gr/" TargetMode="External"/><Relationship Id="rId3" Type="http://schemas.openxmlformats.org/officeDocument/2006/relationships/hyperlink" Target="https://www.theaterst.upatras.gr/ecumenes" TargetMode="External"/><Relationship Id="rId4" Type="http://schemas.openxmlformats.org/officeDocument/2006/relationships/hyperlink" Target="https://www.theaterst.upatras.gr/wp-content/uploads/2023/12/POLITISTIKA-AXIOTHEATA_A.pdf" TargetMode="External"/><Relationship Id="rId5" Type="http://schemas.openxmlformats.org/officeDocument/2006/relationships/hyperlink" Target="https://www.theaterst.upatras.gr/wp-content/uploads/2023/12/POLITISTIKA-AXIOTHEATA_B.pdf" TargetMode="External"/><Relationship Id="rId6" Type="http://schemas.openxmlformats.org/officeDocument/2006/relationships/hyperlink" Target="https://www.theaterst.upatras.gr/wp-content/uploads/2023/12/POLITISTIKA-AXIOTHEATA_B.pdf"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LibreOffice/7.3.7.2$Linux_X86_64 LibreOffice_project/30$Build-2</Application>
  <AppVersion>15.0000</AppVersion>
  <Pages>3</Pages>
  <Words>476</Words>
  <Characters>3126</Characters>
  <CharactersWithSpaces>3579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2025-04-06T10:52:00Z</dcterms:created>
  <dc:creator>Savrami Katia</dc:creator>
  <dc:description/>
  <dc:language>en-US</dc:language>
  <cp:lastModifiedBy/>
  <dcterms:modified xsi:type="dcterms:W3CDTF">2025-05-07T00:25:11Z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